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2573F" w14:textId="55D34746" w:rsidR="00E203C2" w:rsidRDefault="00E203C2" w:rsidP="00E203C2">
      <w:r>
        <w:rPr>
          <w:noProof/>
          <w:lang w:eastAsia="en-GB" w:bidi="ar-SA"/>
        </w:rPr>
        <w:drawing>
          <wp:inline distT="0" distB="0" distL="0" distR="0" wp14:anchorId="53705D84" wp14:editId="2562274A">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879DA1E" w14:textId="77777777" w:rsidR="00E203C2" w:rsidRDefault="00E203C2" w:rsidP="00E203C2"/>
    <w:p w14:paraId="15B16D4B" w14:textId="277F9CFA" w:rsidR="00CA641D" w:rsidRPr="00596818" w:rsidRDefault="00EF2850" w:rsidP="00CA641D">
      <w:pPr>
        <w:rPr>
          <w:b/>
          <w:sz w:val="28"/>
          <w:szCs w:val="28"/>
        </w:rPr>
      </w:pPr>
      <w:r>
        <w:rPr>
          <w:b/>
          <w:sz w:val="28"/>
          <w:szCs w:val="28"/>
        </w:rPr>
        <w:t>15</w:t>
      </w:r>
      <w:r w:rsidR="00CA641D" w:rsidRPr="00596818">
        <w:rPr>
          <w:b/>
          <w:sz w:val="28"/>
          <w:szCs w:val="28"/>
        </w:rPr>
        <w:t xml:space="preserve"> </w:t>
      </w:r>
      <w:r>
        <w:rPr>
          <w:b/>
          <w:sz w:val="28"/>
          <w:szCs w:val="28"/>
        </w:rPr>
        <w:t>December</w:t>
      </w:r>
      <w:r w:rsidR="00CA641D" w:rsidRPr="00596818">
        <w:rPr>
          <w:b/>
          <w:sz w:val="28"/>
          <w:szCs w:val="28"/>
        </w:rPr>
        <w:t xml:space="preserve"> 20</w:t>
      </w:r>
      <w:r w:rsidR="00596818" w:rsidRPr="00596818">
        <w:rPr>
          <w:b/>
          <w:sz w:val="28"/>
          <w:szCs w:val="28"/>
        </w:rPr>
        <w:t>20</w:t>
      </w:r>
    </w:p>
    <w:p w14:paraId="52BA9928" w14:textId="4B88028E" w:rsidR="00CA641D" w:rsidRPr="00596818" w:rsidRDefault="00CA641D" w:rsidP="00CA641D">
      <w:pPr>
        <w:rPr>
          <w:b/>
          <w:sz w:val="28"/>
          <w:szCs w:val="28"/>
        </w:rPr>
      </w:pPr>
      <w:r w:rsidRPr="00596818">
        <w:rPr>
          <w:b/>
          <w:sz w:val="28"/>
          <w:szCs w:val="28"/>
        </w:rPr>
        <w:t>[</w:t>
      </w:r>
      <w:r w:rsidR="00EF2850">
        <w:rPr>
          <w:b/>
          <w:sz w:val="28"/>
          <w:szCs w:val="28"/>
        </w:rPr>
        <w:t>145</w:t>
      </w:r>
      <w:r w:rsidRPr="00596818">
        <w:rPr>
          <w:b/>
          <w:sz w:val="28"/>
          <w:szCs w:val="28"/>
        </w:rPr>
        <w:t>-</w:t>
      </w:r>
      <w:r w:rsidR="00596818" w:rsidRPr="00596818">
        <w:rPr>
          <w:b/>
          <w:sz w:val="28"/>
          <w:szCs w:val="28"/>
        </w:rPr>
        <w:t>20</w:t>
      </w:r>
      <w:r w:rsidRPr="00596818">
        <w:rPr>
          <w:b/>
          <w:sz w:val="28"/>
          <w:szCs w:val="28"/>
        </w:rPr>
        <w:t>]</w:t>
      </w:r>
    </w:p>
    <w:p w14:paraId="5B92753D" w14:textId="77777777" w:rsidR="0057615C" w:rsidRPr="0057615C" w:rsidRDefault="0057615C" w:rsidP="00690206">
      <w:pPr>
        <w:pStyle w:val="FSTitle"/>
        <w:rPr>
          <w:b/>
          <w:sz w:val="22"/>
        </w:rPr>
      </w:pPr>
    </w:p>
    <w:p w14:paraId="1CA8799B" w14:textId="4EEA3328" w:rsidR="00092CDA" w:rsidRPr="00E237A8" w:rsidRDefault="00092CDA" w:rsidP="00690206">
      <w:pPr>
        <w:pStyle w:val="FSTitle"/>
        <w:rPr>
          <w:b/>
        </w:rPr>
      </w:pPr>
      <w:r w:rsidRPr="005B7A73">
        <w:rPr>
          <w:b/>
        </w:rPr>
        <w:t>S</w:t>
      </w:r>
      <w:r w:rsidR="00B12F1E" w:rsidRPr="005B7A73">
        <w:rPr>
          <w:b/>
        </w:rPr>
        <w:t>upporting document</w:t>
      </w:r>
      <w:r w:rsidRPr="005B7A73">
        <w:rPr>
          <w:b/>
        </w:rPr>
        <w:t xml:space="preserve"> </w:t>
      </w:r>
      <w:r w:rsidR="00E237A8" w:rsidRPr="00E237A8">
        <w:rPr>
          <w:b/>
        </w:rPr>
        <w:t>1</w:t>
      </w:r>
    </w:p>
    <w:p w14:paraId="064DFDFD" w14:textId="77777777" w:rsidR="00BA24E2" w:rsidRDefault="00BA24E2" w:rsidP="00E203C2"/>
    <w:p w14:paraId="79157BBE" w14:textId="097618F6" w:rsidR="00D056F1" w:rsidRPr="003403B5" w:rsidRDefault="00320839" w:rsidP="00690206">
      <w:pPr>
        <w:pStyle w:val="FSTitle"/>
      </w:pPr>
      <w:r w:rsidRPr="003403B5">
        <w:t>Risk assessment</w:t>
      </w:r>
      <w:r w:rsidR="006B5EBE" w:rsidRPr="003403B5">
        <w:t xml:space="preserve"> – </w:t>
      </w:r>
      <w:r w:rsidR="00D056F1" w:rsidRPr="003403B5">
        <w:t>A</w:t>
      </w:r>
      <w:r w:rsidR="00B12F1E" w:rsidRPr="003403B5">
        <w:t>pplication</w:t>
      </w:r>
      <w:r w:rsidR="00D056F1" w:rsidRPr="003403B5">
        <w:t xml:space="preserve"> A</w:t>
      </w:r>
      <w:r w:rsidR="003403B5" w:rsidRPr="003403B5">
        <w:t>1180</w:t>
      </w:r>
    </w:p>
    <w:p w14:paraId="48392800" w14:textId="77777777" w:rsidR="00E203C2" w:rsidRPr="00690206" w:rsidRDefault="00E203C2" w:rsidP="00690206"/>
    <w:p w14:paraId="53C06B21" w14:textId="6C023769" w:rsidR="00D056F1" w:rsidRPr="003403B5" w:rsidRDefault="003403B5" w:rsidP="00690206">
      <w:pPr>
        <w:pStyle w:val="FSTitle"/>
      </w:pPr>
      <w:r>
        <w:t>Natural Glycolipids as a preservative in non-alcoholic beverages</w:t>
      </w:r>
    </w:p>
    <w:p w14:paraId="17DAB6BE" w14:textId="77777777" w:rsidR="00E203C2" w:rsidRPr="00B37BF0" w:rsidRDefault="00E203C2" w:rsidP="00E203C2">
      <w:pPr>
        <w:pBdr>
          <w:bottom w:val="single" w:sz="12" w:space="1" w:color="auto"/>
        </w:pBdr>
        <w:spacing w:line="280" w:lineRule="exact"/>
        <w:rPr>
          <w:rFonts w:cs="Arial"/>
          <w:bCs/>
        </w:rPr>
      </w:pPr>
    </w:p>
    <w:p w14:paraId="3CA16420" w14:textId="77777777" w:rsidR="00E203C2" w:rsidRPr="00B37BF0" w:rsidRDefault="00E203C2" w:rsidP="00E203C2"/>
    <w:p w14:paraId="56FAD572" w14:textId="75359F79" w:rsidR="00092CDA" w:rsidRDefault="00092CDA" w:rsidP="00055F0B">
      <w:pPr>
        <w:pStyle w:val="Heading1"/>
        <w:spacing w:before="0"/>
      </w:pPr>
      <w:bookmarkStart w:id="0" w:name="_Toc286391001"/>
      <w:bookmarkStart w:id="1" w:name="_Toc300933414"/>
      <w:bookmarkStart w:id="2" w:name="_Toc43217033"/>
      <w:bookmarkStart w:id="3" w:name="_Toc44401517"/>
      <w:bookmarkStart w:id="4" w:name="_Toc45284269"/>
      <w:bookmarkStart w:id="5" w:name="_Toc46929392"/>
      <w:r w:rsidRPr="00092CDA">
        <w:t xml:space="preserve">Executive </w:t>
      </w:r>
      <w:r w:rsidR="00B12F1E">
        <w:t>s</w:t>
      </w:r>
      <w:r w:rsidRPr="00092CDA">
        <w:t>ummary</w:t>
      </w:r>
      <w:bookmarkEnd w:id="0"/>
      <w:bookmarkEnd w:id="1"/>
      <w:bookmarkEnd w:id="2"/>
      <w:bookmarkEnd w:id="3"/>
      <w:bookmarkEnd w:id="4"/>
      <w:bookmarkEnd w:id="5"/>
    </w:p>
    <w:p w14:paraId="19183358" w14:textId="1E319C7B" w:rsidR="0024501B" w:rsidRDefault="00FD6BFD" w:rsidP="00690206">
      <w:bookmarkStart w:id="6" w:name="_Hlk516831278"/>
      <w:r w:rsidRPr="00FD6BFD">
        <w:t>LANXESS Deutschland GmbH</w:t>
      </w:r>
      <w:bookmarkEnd w:id="6"/>
      <w:r>
        <w:t xml:space="preserve"> has applied to change the Australia New Zealand Food Standards Code to permit the use of long-chain glycolipids, </w:t>
      </w:r>
      <w:r w:rsidRPr="00FD6BFD">
        <w:t xml:space="preserve">obtained through the fermentation of glucose by the edible jelly </w:t>
      </w:r>
      <w:r w:rsidR="00933588">
        <w:t>mushroom</w:t>
      </w:r>
      <w:r w:rsidR="00933588" w:rsidRPr="00FD6BFD">
        <w:t xml:space="preserve"> </w:t>
      </w:r>
      <w:r w:rsidRPr="00FD6BFD">
        <w:rPr>
          <w:i/>
        </w:rPr>
        <w:t>Dacryopinax spathularia</w:t>
      </w:r>
      <w:r>
        <w:rPr>
          <w:i/>
        </w:rPr>
        <w:t xml:space="preserve">, </w:t>
      </w:r>
      <w:r>
        <w:t xml:space="preserve">as </w:t>
      </w:r>
      <w:r w:rsidRPr="00FD6BFD">
        <w:t>a preservative in non-alcoholic beverages</w:t>
      </w:r>
      <w:r>
        <w:t>.</w:t>
      </w:r>
      <w:r w:rsidR="00D51340">
        <w:t xml:space="preserve"> </w:t>
      </w:r>
      <w:r w:rsidR="00D51340" w:rsidRPr="00D51340">
        <w:t>The application is seeking permission for jelly mushroom glycolip</w:t>
      </w:r>
      <w:r w:rsidR="00511B78">
        <w:t>ids at levels ranging between 2</w:t>
      </w:r>
      <w:r w:rsidR="00D51340" w:rsidRPr="00D51340">
        <w:t xml:space="preserve"> to 100 mg/kg for different non-alcoholic beverage categories</w:t>
      </w:r>
      <w:r w:rsidR="00D51340">
        <w:t>.</w:t>
      </w:r>
    </w:p>
    <w:p w14:paraId="0493C1B6" w14:textId="77777777" w:rsidR="00FD6BFD" w:rsidRDefault="00FD6BFD" w:rsidP="00690206"/>
    <w:p w14:paraId="4A9FC29C" w14:textId="246A7FD5" w:rsidR="00FD6BFD" w:rsidRDefault="006F72C9" w:rsidP="00FD6BFD">
      <w:r w:rsidRPr="006F72C9">
        <w:t xml:space="preserve">The applicant established the identity </w:t>
      </w:r>
      <w:r w:rsidR="00CC4792">
        <w:t xml:space="preserve">of </w:t>
      </w:r>
      <w:r w:rsidRPr="006F72C9">
        <w:t xml:space="preserve">the </w:t>
      </w:r>
      <w:r w:rsidR="00CF284A">
        <w:t xml:space="preserve">production </w:t>
      </w:r>
      <w:r w:rsidRPr="006F72C9">
        <w:t xml:space="preserve">organism using a combination of morphological, molecular phylogenetic and chemotaxonomic methodologies. Morphological characteristics and secondary chemical metabolites of </w:t>
      </w:r>
      <w:r w:rsidR="00CF284A">
        <w:t>the production organism</w:t>
      </w:r>
      <w:r w:rsidRPr="006F72C9">
        <w:t xml:space="preserve"> were confirmed against an authentic strain of </w:t>
      </w:r>
      <w:r w:rsidRPr="00B72BF6">
        <w:rPr>
          <w:i/>
        </w:rPr>
        <w:t>D. spathularia</w:t>
      </w:r>
      <w:r w:rsidR="00753BD5">
        <w:rPr>
          <w:i/>
        </w:rPr>
        <w:t>.</w:t>
      </w:r>
    </w:p>
    <w:p w14:paraId="6DF9A9B8" w14:textId="77777777" w:rsidR="00FD6BFD" w:rsidRDefault="00FD6BFD" w:rsidP="00FD6BFD"/>
    <w:p w14:paraId="004B8F67" w14:textId="6A8073EC" w:rsidR="00FD6BFD" w:rsidRDefault="00003B29" w:rsidP="00FD6BFD">
      <w:r>
        <w:t xml:space="preserve">The submitted data, together with information located from other sources, are considered suitable to assess the efficacy of jelly mushroom glycolipids. </w:t>
      </w:r>
      <w:r w:rsidR="006F72C9" w:rsidRPr="006F72C9">
        <w:t xml:space="preserve">The exact mechanism for the mode of action for glycolipids has not been established. </w:t>
      </w:r>
      <w:r w:rsidR="009802A1">
        <w:t>However, t</w:t>
      </w:r>
      <w:r w:rsidR="006F72C9" w:rsidRPr="006F72C9">
        <w:t xml:space="preserve">he results of </w:t>
      </w:r>
      <w:r w:rsidR="006F72C9" w:rsidRPr="00933588">
        <w:rPr>
          <w:i/>
        </w:rPr>
        <w:t>in vitro</w:t>
      </w:r>
      <w:r w:rsidR="006F72C9" w:rsidRPr="006F72C9">
        <w:t xml:space="preserve"> studies suggest that the surfactant properties</w:t>
      </w:r>
      <w:r w:rsidR="00CF284A">
        <w:t xml:space="preserve"> of</w:t>
      </w:r>
      <w:r w:rsidR="006F72C9" w:rsidRPr="006F72C9">
        <w:t xml:space="preserve"> glycolipids alter the cytoplasmic membrane leading to increased permeability. The metabolism of the cells is affected </w:t>
      </w:r>
      <w:r w:rsidR="00CF284A">
        <w:t>leading to</w:t>
      </w:r>
      <w:r w:rsidR="006F72C9" w:rsidRPr="006F72C9">
        <w:t xml:space="preserve"> cell death.</w:t>
      </w:r>
      <w:r w:rsidR="006F72C9">
        <w:t xml:space="preserve"> </w:t>
      </w:r>
      <w:r w:rsidR="00FD6BFD">
        <w:t xml:space="preserve">Results of </w:t>
      </w:r>
      <w:r w:rsidR="00FD6BFD" w:rsidRPr="00B72BF6">
        <w:rPr>
          <w:i/>
        </w:rPr>
        <w:t>in vitro</w:t>
      </w:r>
      <w:r w:rsidR="00FD6BFD">
        <w:t xml:space="preserve"> studies suggest that there are important differences in the response of microorganisms to </w:t>
      </w:r>
      <w:r>
        <w:t>jelly mushroom glycolipids</w:t>
      </w:r>
      <w:r w:rsidR="00FD6BFD">
        <w:t xml:space="preserve">. Gram-negative bacteria are the most resistant, followed by Gram-positive bacteria. Challenge studies using defined mixtures of yeasts and </w:t>
      </w:r>
      <w:r w:rsidR="006F72C9">
        <w:t>moulds</w:t>
      </w:r>
      <w:r w:rsidR="00FD6BFD">
        <w:t xml:space="preserve"> highlighted differences between non-alcoholic beverage types.</w:t>
      </w:r>
    </w:p>
    <w:p w14:paraId="41FB0007" w14:textId="2B90A68C" w:rsidR="0024501B" w:rsidRDefault="0024501B" w:rsidP="00690206"/>
    <w:p w14:paraId="42AF4639" w14:textId="17377845" w:rsidR="006F72C9" w:rsidRPr="006F72C9" w:rsidRDefault="006F72C9" w:rsidP="006F72C9">
      <w:r w:rsidRPr="006F72C9">
        <w:t xml:space="preserve">Pharmacokinetic data for radiolabelled </w:t>
      </w:r>
      <w:r w:rsidR="00003B29">
        <w:t>jelly mushroom glycolipids</w:t>
      </w:r>
      <w:r w:rsidRPr="006F72C9">
        <w:t xml:space="preserve"> and </w:t>
      </w:r>
      <w:r>
        <w:t xml:space="preserve">their </w:t>
      </w:r>
      <w:r w:rsidRPr="006F72C9">
        <w:t xml:space="preserve">major hydrolysis products indicate that both the parent mixture and the hydrolysis products are </w:t>
      </w:r>
      <w:r w:rsidR="00CC4792">
        <w:t xml:space="preserve">likely to be </w:t>
      </w:r>
      <w:r w:rsidRPr="006F72C9">
        <w:t>poorly absorbed by the oral route</w:t>
      </w:r>
      <w:r>
        <w:t xml:space="preserve">. </w:t>
      </w:r>
      <w:r w:rsidR="00B72BF6">
        <w:t>T</w:t>
      </w:r>
      <w:r w:rsidRPr="006F72C9">
        <w:t xml:space="preserve">here was no evidence of persistence or bioaccumulation in any particular tissue. </w:t>
      </w:r>
      <w:r w:rsidR="00CF284A">
        <w:t>Acute oral toxicity in rats was greater than 2000 mg/kg bw</w:t>
      </w:r>
      <w:r w:rsidR="002522BB">
        <w:t>.</w:t>
      </w:r>
    </w:p>
    <w:p w14:paraId="5925D8D7" w14:textId="77777777" w:rsidR="006F72C9" w:rsidRPr="006F72C9" w:rsidRDefault="006F72C9" w:rsidP="006F72C9"/>
    <w:p w14:paraId="4ED6095E" w14:textId="610E1050" w:rsidR="006F72C9" w:rsidRPr="006F72C9" w:rsidRDefault="006F72C9" w:rsidP="006F72C9">
      <w:r w:rsidRPr="006F72C9">
        <w:t xml:space="preserve">In a 90-day </w:t>
      </w:r>
      <w:r w:rsidR="00DA6C43">
        <w:t>Good Laboratory Practice (</w:t>
      </w:r>
      <w:r w:rsidR="006A4F83">
        <w:t>GLP</w:t>
      </w:r>
      <w:r w:rsidR="00DA6C43">
        <w:t>)</w:t>
      </w:r>
      <w:r w:rsidR="006A4F83">
        <w:t xml:space="preserve">-compliant </w:t>
      </w:r>
      <w:r w:rsidRPr="006F72C9">
        <w:t>drinking water study in Sprague Dawley rats, no adverse effects were found at the highest dose administered, equivalent to 1201 and 1423 mg/kg bw/day in male and female rats</w:t>
      </w:r>
      <w:r w:rsidR="00DA6C43">
        <w:t>,</w:t>
      </w:r>
      <w:r w:rsidRPr="006F72C9">
        <w:t xml:space="preserve"> respectively. In a 90-day </w:t>
      </w:r>
      <w:r w:rsidR="006A4F83">
        <w:t xml:space="preserve">GLP-compliant </w:t>
      </w:r>
      <w:r w:rsidRPr="006F72C9">
        <w:t xml:space="preserve">oral capsule study in Beagle dogs, a significant reduction, relative to that of controls, in group mean cumulative bodyweight gain in female dogs, with a corresponding but non-significant reduction in group mean food consumption, at 1000 mg/kg bw/day, is considered to be adverse by FSANZ. FSANZ considers that the </w:t>
      </w:r>
      <w:r w:rsidR="00C85B8E">
        <w:t xml:space="preserve">No Observed </w:t>
      </w:r>
      <w:r w:rsidR="00933588">
        <w:t xml:space="preserve">Adverse </w:t>
      </w:r>
      <w:r w:rsidR="00C85B8E">
        <w:t xml:space="preserve">Effect </w:t>
      </w:r>
      <w:r w:rsidR="00C85B8E">
        <w:lastRenderedPageBreak/>
        <w:t>Level (NO</w:t>
      </w:r>
      <w:r w:rsidR="00933588">
        <w:t>A</w:t>
      </w:r>
      <w:r w:rsidRPr="006F72C9">
        <w:t>EL</w:t>
      </w:r>
      <w:r w:rsidR="00C85B8E">
        <w:t>)</w:t>
      </w:r>
      <w:r w:rsidRPr="006F72C9">
        <w:t xml:space="preserve"> for this study is 500 mg/kg bw/day.</w:t>
      </w:r>
    </w:p>
    <w:p w14:paraId="043231FF" w14:textId="77777777" w:rsidR="006F72C9" w:rsidRPr="006F72C9" w:rsidRDefault="006F72C9" w:rsidP="006F72C9"/>
    <w:p w14:paraId="14B4A4C2" w14:textId="0B02738D" w:rsidR="006F72C9" w:rsidRPr="006F72C9" w:rsidRDefault="006F72C9" w:rsidP="006F72C9">
      <w:r w:rsidRPr="006F72C9">
        <w:t xml:space="preserve">No chronic or carcinogenicity studies of </w:t>
      </w:r>
      <w:r w:rsidR="00003B29">
        <w:t>jelly mushroom glycolipids</w:t>
      </w:r>
      <w:r w:rsidRPr="006F72C9">
        <w:t xml:space="preserve"> were submitted or located </w:t>
      </w:r>
      <w:r>
        <w:t>by literature search</w:t>
      </w:r>
      <w:r w:rsidRPr="006F72C9">
        <w:t xml:space="preserve">. </w:t>
      </w:r>
      <w:r w:rsidR="002522BB">
        <w:t>J</w:t>
      </w:r>
      <w:r w:rsidR="00003B29" w:rsidRPr="00003B29">
        <w:t xml:space="preserve">elly mushroom glycolipids </w:t>
      </w:r>
      <w:r w:rsidRPr="006F72C9">
        <w:t>were not genotoxic in GLP-compliant genotoxicity studies. There was an absence of test article</w:t>
      </w:r>
      <w:r>
        <w:t>-</w:t>
      </w:r>
      <w:r w:rsidRPr="006F72C9">
        <w:t>related lesions in the repeat-dose studies, and therefore there was no evidence of neoplastic potential by a non-genotoxic mechanism.</w:t>
      </w:r>
    </w:p>
    <w:p w14:paraId="712164E4" w14:textId="77777777" w:rsidR="006F72C9" w:rsidRPr="006F72C9" w:rsidRDefault="006F72C9" w:rsidP="006F72C9"/>
    <w:p w14:paraId="2928646F" w14:textId="6B70831F" w:rsidR="006F72C9" w:rsidRPr="006F72C9" w:rsidRDefault="006F72C9" w:rsidP="006F72C9">
      <w:r w:rsidRPr="006F72C9">
        <w:t xml:space="preserve">Potential for developmental and/or reproductive toxicity was assessed in two GLP-compliant studies in Sprague Dawley rats, a developmental toxicity study and a two-generation reproductive toxicity study. The </w:t>
      </w:r>
      <w:r w:rsidR="00C85B8E">
        <w:t>No Observed Adverse Effect Level (</w:t>
      </w:r>
      <w:r w:rsidRPr="006F72C9">
        <w:t>NOAEL</w:t>
      </w:r>
      <w:r w:rsidR="00C85B8E">
        <w:t>)</w:t>
      </w:r>
      <w:r w:rsidRPr="006F72C9">
        <w:t xml:space="preserve"> for parental toxicity, embryo/fetal developmental toxicity and toxicity to offspring was the highest dose tested in the two studies, 1000 mg/kg bw/day.</w:t>
      </w:r>
    </w:p>
    <w:p w14:paraId="0DA1B57E" w14:textId="77777777" w:rsidR="006F72C9" w:rsidRPr="006F72C9" w:rsidRDefault="006F72C9" w:rsidP="006F72C9"/>
    <w:p w14:paraId="0FBC5AF9" w14:textId="10E09C5F" w:rsidR="006F72C9" w:rsidRPr="006F72C9" w:rsidRDefault="006F72C9" w:rsidP="006F72C9">
      <w:r w:rsidRPr="006F72C9">
        <w:t xml:space="preserve">No human tolerance studies of </w:t>
      </w:r>
      <w:r w:rsidR="00003B29">
        <w:t>je</w:t>
      </w:r>
      <w:bookmarkStart w:id="7" w:name="_GoBack"/>
      <w:bookmarkEnd w:id="7"/>
      <w:r w:rsidR="00003B29">
        <w:t>lly mushroom glycolipids</w:t>
      </w:r>
      <w:r w:rsidR="00003B29" w:rsidRPr="006F72C9">
        <w:t xml:space="preserve"> </w:t>
      </w:r>
      <w:r w:rsidRPr="006F72C9">
        <w:t xml:space="preserve">were submitted or located. </w:t>
      </w:r>
      <w:r w:rsidRPr="006F72C9">
        <w:rPr>
          <w:i/>
          <w:iCs/>
        </w:rPr>
        <w:t>Dacryopinax spathularia</w:t>
      </w:r>
      <w:r w:rsidRPr="006F72C9">
        <w:t xml:space="preserve"> is listed in the FAO compendium on edible mushrooms and is described as edible in peer-reviewed publications from a range of countries in multiple continents. There are no case reports of allergic reactions to the source organism, or evidence of allergenic p</w:t>
      </w:r>
      <w:r w:rsidR="00B72BF6">
        <w:t xml:space="preserve">otential of </w:t>
      </w:r>
      <w:r w:rsidR="00003B29">
        <w:t>jelly mushroom glycolipids</w:t>
      </w:r>
      <w:r w:rsidR="00B72BF6">
        <w:t>, or glycolipids generally</w:t>
      </w:r>
      <w:r w:rsidR="002522BB">
        <w:t>.</w:t>
      </w:r>
    </w:p>
    <w:p w14:paraId="47FABEC6" w14:textId="77777777" w:rsidR="006F72C9" w:rsidRPr="006F72C9" w:rsidRDefault="006F72C9" w:rsidP="006F72C9"/>
    <w:p w14:paraId="68C2FCDC" w14:textId="319427D8" w:rsidR="00DC1C18" w:rsidRDefault="00DC1C18" w:rsidP="00690206">
      <w:r w:rsidRPr="00DC1C18">
        <w:t>The ADI is derived from the lowest NOAEL identified in animals, 500 mg/kg bw/day in Beagle dogs. FSANZ has applied an uncertainty factor of 10 for extrapolation from animals to humans, an uncertainty factor of 10 for variability between humans, and an uncertainty factor of 3 allowing for extrapolation from a subchronic study to chronic exposure, for a total uncertainty factor of 300. An uncertainty factor of 3, rather than 10, has been selected because there is a clear NOAEL at 500 mg/kg bw/day, and the effect is minimal at twice that value, although the dogs were at an age when growth is rapid and energy requirement is high. The ADI is established by division of the lowest NOAEL (500 mg/kg bw/day) by the total UF (300), approximately equalling 1.6, and rounded to 2.0 mg/kg bw/day.</w:t>
      </w:r>
    </w:p>
    <w:p w14:paraId="4B9C36BA" w14:textId="7C0664C4" w:rsidR="00A20AAC" w:rsidRDefault="00A20AAC" w:rsidP="00690206"/>
    <w:p w14:paraId="37A04B20" w14:textId="1D68B2DB" w:rsidR="00055F0B" w:rsidRPr="00B55752" w:rsidRDefault="006A0373" w:rsidP="00055F0B">
      <w:r>
        <w:t xml:space="preserve">The dietary exposure assessment for </w:t>
      </w:r>
      <w:r w:rsidR="004C28B5">
        <w:t>j</w:t>
      </w:r>
      <w:r w:rsidR="00A90724">
        <w:t>elly mushroom glycolipids</w:t>
      </w:r>
      <w:r>
        <w:t xml:space="preserve"> </w:t>
      </w:r>
      <w:r w:rsidR="00055F0B">
        <w:t>assessed</w:t>
      </w:r>
      <w:r w:rsidRPr="00B01133">
        <w:t xml:space="preserve"> additive uses</w:t>
      </w:r>
      <w:r w:rsidR="00055F0B">
        <w:t xml:space="preserve"> only across three scenarios; </w:t>
      </w:r>
      <w:r w:rsidR="00055F0B" w:rsidRPr="00055F0B">
        <w:rPr>
          <w:i/>
        </w:rPr>
        <w:t xml:space="preserve">General </w:t>
      </w:r>
      <w:r w:rsidR="002522BB">
        <w:rPr>
          <w:i/>
        </w:rPr>
        <w:t>Maximum Permitted Level (</w:t>
      </w:r>
      <w:r w:rsidR="00055F0B" w:rsidRPr="00055F0B">
        <w:rPr>
          <w:i/>
        </w:rPr>
        <w:t>MPL</w:t>
      </w:r>
      <w:r w:rsidR="002522BB">
        <w:rPr>
          <w:i/>
        </w:rPr>
        <w:t>)</w:t>
      </w:r>
      <w:r w:rsidR="00055F0B">
        <w:t xml:space="preserve">, </w:t>
      </w:r>
      <w:r w:rsidR="00055F0B" w:rsidRPr="00055F0B">
        <w:rPr>
          <w:i/>
        </w:rPr>
        <w:t>Specific MPL</w:t>
      </w:r>
      <w:r w:rsidR="00055F0B">
        <w:t xml:space="preserve"> and </w:t>
      </w:r>
      <w:r w:rsidR="00055F0B" w:rsidRPr="00055F0B">
        <w:rPr>
          <w:i/>
        </w:rPr>
        <w:t xml:space="preserve">Usual Use </w:t>
      </w:r>
      <w:r w:rsidR="00055F0B" w:rsidRPr="00055F0B">
        <w:t>levels</w:t>
      </w:r>
      <w:r w:rsidR="00AD648A">
        <w:t xml:space="preserve"> and for three population groups; Australians aged 2 years and above, New Zealanders aged 15 years and above and New Zealand children aged 5-14 years</w:t>
      </w:r>
      <w:r>
        <w:t>.</w:t>
      </w:r>
      <w:r w:rsidR="00055F0B">
        <w:t xml:space="preserve"> The assessment showed that</w:t>
      </w:r>
      <w:r w:rsidR="00055F0B">
        <w:rPr>
          <w:lang w:eastAsia="en-AU"/>
        </w:rPr>
        <w:t xml:space="preserve"> mean and </w:t>
      </w:r>
      <w:r w:rsidR="002522BB">
        <w:rPr>
          <w:lang w:eastAsia="en-AU"/>
        </w:rPr>
        <w:t>90</w:t>
      </w:r>
      <w:r w:rsidR="002522BB" w:rsidRPr="00933588">
        <w:rPr>
          <w:vertAlign w:val="superscript"/>
          <w:lang w:eastAsia="en-AU"/>
        </w:rPr>
        <w:t>th</w:t>
      </w:r>
      <w:r w:rsidR="002522BB">
        <w:rPr>
          <w:lang w:eastAsia="en-AU"/>
        </w:rPr>
        <w:t xml:space="preserve"> percentile (</w:t>
      </w:r>
      <w:r w:rsidR="00055F0B">
        <w:rPr>
          <w:lang w:eastAsia="en-AU"/>
        </w:rPr>
        <w:t>P90</w:t>
      </w:r>
      <w:r w:rsidR="002522BB">
        <w:rPr>
          <w:lang w:eastAsia="en-AU"/>
        </w:rPr>
        <w:t>)</w:t>
      </w:r>
      <w:r w:rsidR="00055F0B">
        <w:rPr>
          <w:lang w:eastAsia="en-AU"/>
        </w:rPr>
        <w:t xml:space="preserve"> estimated dietary exposures for all scenarios and population groups </w:t>
      </w:r>
      <w:r w:rsidR="002522BB">
        <w:rPr>
          <w:lang w:eastAsia="en-AU"/>
        </w:rPr>
        <w:t xml:space="preserve">assessed </w:t>
      </w:r>
      <w:r w:rsidR="00055F0B">
        <w:rPr>
          <w:lang w:eastAsia="en-AU"/>
        </w:rPr>
        <w:t xml:space="preserve">fell below the ADI of </w:t>
      </w:r>
      <w:r w:rsidR="00622C8F">
        <w:rPr>
          <w:lang w:eastAsia="en-AU"/>
        </w:rPr>
        <w:t>2.0</w:t>
      </w:r>
      <w:r w:rsidR="00055F0B">
        <w:rPr>
          <w:lang w:eastAsia="en-AU"/>
        </w:rPr>
        <w:t xml:space="preserve"> mg/kg bw/day. The mean dietary exposures ranged </w:t>
      </w:r>
      <w:r w:rsidR="009D7328">
        <w:rPr>
          <w:lang w:eastAsia="en-AU"/>
        </w:rPr>
        <w:t xml:space="preserve">between </w:t>
      </w:r>
      <w:r w:rsidR="00E224B4">
        <w:rPr>
          <w:lang w:eastAsia="en-AU"/>
        </w:rPr>
        <w:t>9</w:t>
      </w:r>
      <w:r w:rsidR="00055F0B">
        <w:rPr>
          <w:lang w:eastAsia="en-AU"/>
        </w:rPr>
        <w:t>-</w:t>
      </w:r>
      <w:r w:rsidR="00622C8F">
        <w:rPr>
          <w:lang w:eastAsia="en-AU"/>
        </w:rPr>
        <w:t>35</w:t>
      </w:r>
      <w:r w:rsidR="00055F0B">
        <w:rPr>
          <w:lang w:eastAsia="en-AU"/>
        </w:rPr>
        <w:t xml:space="preserve">% of the ADI and P90 dietary exposures ranged </w:t>
      </w:r>
      <w:r w:rsidR="009D7328">
        <w:rPr>
          <w:lang w:eastAsia="en-AU"/>
        </w:rPr>
        <w:t xml:space="preserve">between </w:t>
      </w:r>
      <w:r w:rsidR="00055F0B">
        <w:rPr>
          <w:lang w:eastAsia="en-AU"/>
        </w:rPr>
        <w:t>20</w:t>
      </w:r>
      <w:r w:rsidR="00055F0B">
        <w:rPr>
          <w:lang w:eastAsia="en-AU"/>
        </w:rPr>
        <w:fldChar w:fldCharType="begin" w:fldLock="1"/>
      </w:r>
      <w:r w:rsidR="00055F0B">
        <w:rPr>
          <w:lang w:eastAsia="en-AU"/>
        </w:rPr>
        <w:instrText xml:space="preserve"> DOCPROPERTY bjHeaderBothDocProperty \* MERGEFORMAT </w:instrText>
      </w:r>
      <w:r w:rsidR="00055F0B">
        <w:rPr>
          <w:lang w:eastAsia="en-AU"/>
        </w:rPr>
        <w:fldChar w:fldCharType="end"/>
      </w:r>
      <w:r w:rsidR="00055F0B">
        <w:rPr>
          <w:lang w:eastAsia="en-AU"/>
        </w:rPr>
        <w:t>-</w:t>
      </w:r>
      <w:r w:rsidR="00622C8F">
        <w:rPr>
          <w:lang w:eastAsia="en-AU"/>
        </w:rPr>
        <w:t>75</w:t>
      </w:r>
      <w:r w:rsidR="00055F0B">
        <w:rPr>
          <w:lang w:eastAsia="en-AU"/>
        </w:rPr>
        <w:t>% of the ADI.</w:t>
      </w:r>
    </w:p>
    <w:p w14:paraId="3A0451CC" w14:textId="77777777" w:rsidR="00055F0B" w:rsidRDefault="00055F0B" w:rsidP="00A20AAC"/>
    <w:p w14:paraId="6A0D5821" w14:textId="164B8ABD" w:rsidR="00AD648A" w:rsidRDefault="00AD648A" w:rsidP="00AD648A">
      <w:r>
        <w:t xml:space="preserve">Across all population groups assessed and across all scenarios, the </w:t>
      </w:r>
      <w:r w:rsidR="006350B8">
        <w:t>top</w:t>
      </w:r>
      <w:r>
        <w:t xml:space="preserve"> </w:t>
      </w:r>
      <w:r w:rsidR="00A522C3">
        <w:t xml:space="preserve">two </w:t>
      </w:r>
      <w:r>
        <w:t>major contributing food</w:t>
      </w:r>
      <w:r w:rsidR="00A522C3">
        <w:t xml:space="preserve"> categories</w:t>
      </w:r>
      <w:r>
        <w:t xml:space="preserve"> to </w:t>
      </w:r>
      <w:r w:rsidR="004C28B5">
        <w:t>j</w:t>
      </w:r>
      <w:r w:rsidR="00A522C3">
        <w:t>elly mushroom glycolipids</w:t>
      </w:r>
      <w:r>
        <w:t xml:space="preserve"> dietary exposures were</w:t>
      </w:r>
      <w:r w:rsidR="00A522C3">
        <w:t>:</w:t>
      </w:r>
      <w:r>
        <w:t xml:space="preserve"> </w:t>
      </w:r>
      <w:r w:rsidR="00A522C3">
        <w:t>1)</w:t>
      </w:r>
      <w:r>
        <w:t xml:space="preserve"> </w:t>
      </w:r>
      <w:r w:rsidRPr="00D03652">
        <w:t>Water based flavoured drinks, excluding powders, ice</w:t>
      </w:r>
      <w:r>
        <w:t>d teas, brewed soft drinks</w:t>
      </w:r>
      <w:r w:rsidR="00A522C3">
        <w:t>; and 2)</w:t>
      </w:r>
      <w:r>
        <w:t xml:space="preserve"> </w:t>
      </w:r>
      <w:r w:rsidRPr="00D03652">
        <w:t xml:space="preserve">Fruit </w:t>
      </w:r>
      <w:r>
        <w:t>and</w:t>
      </w:r>
      <w:r w:rsidRPr="00D03652">
        <w:t xml:space="preserve"> vegetable juices</w:t>
      </w:r>
      <w:r>
        <w:t>.</w:t>
      </w:r>
    </w:p>
    <w:p w14:paraId="4FEBC2A9" w14:textId="77777777" w:rsidR="00055F0B" w:rsidRDefault="00055F0B" w:rsidP="00A20AAC"/>
    <w:p w14:paraId="1E9550F5" w14:textId="35D7B74F" w:rsidR="000A15E2" w:rsidRDefault="000A15E2" w:rsidP="00A20AAC">
      <w:r>
        <w:t xml:space="preserve">Based on the safety and dietary exposure assessments, there is no evidence of a public health and safety concern associated with the use of </w:t>
      </w:r>
      <w:r w:rsidR="00003B29">
        <w:t>jelly mushroom glycolipids</w:t>
      </w:r>
      <w:r w:rsidR="009D7328">
        <w:t xml:space="preserve"> at the proposed used levels</w:t>
      </w:r>
      <w:r w:rsidR="00003B29" w:rsidRPr="006F72C9">
        <w:t xml:space="preserve"> </w:t>
      </w:r>
      <w:r>
        <w:t xml:space="preserve">in non-alcoholic beverages, </w:t>
      </w:r>
      <w:r w:rsidR="009D7328">
        <w:t>based on</w:t>
      </w:r>
      <w:r>
        <w:t xml:space="preserve"> an ADI of 2.0 mg/kg bw/day.</w:t>
      </w:r>
    </w:p>
    <w:p w14:paraId="1555D526" w14:textId="3F022251" w:rsidR="00A20AAC" w:rsidRDefault="00A20AAC" w:rsidP="00690206"/>
    <w:p w14:paraId="4FEB6679" w14:textId="77777777" w:rsidR="00A20AAC" w:rsidRDefault="00A20AAC" w:rsidP="00690206">
      <w:pPr>
        <w:sectPr w:rsidR="00A20AAC" w:rsidSect="0054272D">
          <w:footerReference w:type="even" r:id="rId16"/>
          <w:footerReference w:type="default" r:id="rId17"/>
          <w:headerReference w:type="first" r:id="rId18"/>
          <w:pgSz w:w="11906" w:h="16838"/>
          <w:pgMar w:top="1418" w:right="1418" w:bottom="1418" w:left="1418" w:header="709" w:footer="709" w:gutter="0"/>
          <w:pgNumType w:fmt="lowerRoman" w:start="1"/>
          <w:cols w:space="708"/>
          <w:docGrid w:linePitch="360"/>
        </w:sectPr>
      </w:pPr>
    </w:p>
    <w:p w14:paraId="4D070F40" w14:textId="77777777" w:rsidR="00562917" w:rsidRPr="00D9620E" w:rsidRDefault="00562917" w:rsidP="002A3314">
      <w:pPr>
        <w:pStyle w:val="TOCHeading"/>
        <w:rPr>
          <w:b w:val="0"/>
          <w:sz w:val="32"/>
        </w:rPr>
      </w:pPr>
      <w:r w:rsidRPr="00D9620E">
        <w:rPr>
          <w:b w:val="0"/>
          <w:sz w:val="32"/>
        </w:rPr>
        <w:t xml:space="preserve">Table of </w:t>
      </w:r>
      <w:r w:rsidR="00A77BFA" w:rsidRPr="00D9620E">
        <w:rPr>
          <w:b w:val="0"/>
          <w:sz w:val="32"/>
        </w:rPr>
        <w:t>c</w:t>
      </w:r>
      <w:r w:rsidRPr="00D9620E">
        <w:rPr>
          <w:b w:val="0"/>
          <w:sz w:val="32"/>
        </w:rPr>
        <w:t>ontents</w:t>
      </w:r>
    </w:p>
    <w:p w14:paraId="631CE871" w14:textId="54BD450C" w:rsidR="00C931D4"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46929392" w:history="1">
        <w:r w:rsidR="00C931D4" w:rsidRPr="001E588B">
          <w:rPr>
            <w:rStyle w:val="Hyperlink"/>
            <w:noProof/>
          </w:rPr>
          <w:t>Executive summary</w:t>
        </w:r>
        <w:r w:rsidR="00C931D4">
          <w:rPr>
            <w:noProof/>
            <w:webHidden/>
          </w:rPr>
          <w:tab/>
        </w:r>
        <w:r w:rsidR="00C931D4">
          <w:rPr>
            <w:noProof/>
            <w:webHidden/>
          </w:rPr>
          <w:fldChar w:fldCharType="begin"/>
        </w:r>
        <w:r w:rsidR="00C931D4">
          <w:rPr>
            <w:noProof/>
            <w:webHidden/>
          </w:rPr>
          <w:instrText xml:space="preserve"> PAGEREF _Toc46929392 \h </w:instrText>
        </w:r>
        <w:r w:rsidR="00C931D4">
          <w:rPr>
            <w:noProof/>
            <w:webHidden/>
          </w:rPr>
        </w:r>
        <w:r w:rsidR="00C931D4">
          <w:rPr>
            <w:noProof/>
            <w:webHidden/>
          </w:rPr>
          <w:fldChar w:fldCharType="separate"/>
        </w:r>
        <w:r w:rsidR="00E202C8">
          <w:rPr>
            <w:noProof/>
            <w:webHidden/>
          </w:rPr>
          <w:t>i</w:t>
        </w:r>
        <w:r w:rsidR="00C931D4">
          <w:rPr>
            <w:noProof/>
            <w:webHidden/>
          </w:rPr>
          <w:fldChar w:fldCharType="end"/>
        </w:r>
      </w:hyperlink>
    </w:p>
    <w:p w14:paraId="670E298A" w14:textId="63D2BB1C" w:rsidR="00C931D4" w:rsidRDefault="00E202C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929393" w:history="1">
        <w:r w:rsidR="00C931D4" w:rsidRPr="001E588B">
          <w:rPr>
            <w:rStyle w:val="Hyperlink"/>
            <w:noProof/>
          </w:rPr>
          <w:t>1</w:t>
        </w:r>
        <w:r w:rsidR="00C931D4">
          <w:rPr>
            <w:rFonts w:eastAsiaTheme="minorEastAsia" w:cstheme="minorBidi"/>
            <w:b w:val="0"/>
            <w:bCs w:val="0"/>
            <w:caps w:val="0"/>
            <w:noProof/>
            <w:sz w:val="22"/>
            <w:szCs w:val="22"/>
            <w:lang w:eastAsia="en-GB" w:bidi="ar-SA"/>
          </w:rPr>
          <w:tab/>
        </w:r>
        <w:r w:rsidR="00C931D4" w:rsidRPr="001E588B">
          <w:rPr>
            <w:rStyle w:val="Hyperlink"/>
            <w:noProof/>
          </w:rPr>
          <w:t>Introduction</w:t>
        </w:r>
        <w:r w:rsidR="00C931D4">
          <w:rPr>
            <w:noProof/>
            <w:webHidden/>
          </w:rPr>
          <w:tab/>
        </w:r>
        <w:r w:rsidR="00C931D4">
          <w:rPr>
            <w:noProof/>
            <w:webHidden/>
          </w:rPr>
          <w:fldChar w:fldCharType="begin"/>
        </w:r>
        <w:r w:rsidR="00C931D4">
          <w:rPr>
            <w:noProof/>
            <w:webHidden/>
          </w:rPr>
          <w:instrText xml:space="preserve"> PAGEREF _Toc46929393 \h </w:instrText>
        </w:r>
        <w:r w:rsidR="00C931D4">
          <w:rPr>
            <w:noProof/>
            <w:webHidden/>
          </w:rPr>
        </w:r>
        <w:r w:rsidR="00C931D4">
          <w:rPr>
            <w:noProof/>
            <w:webHidden/>
          </w:rPr>
          <w:fldChar w:fldCharType="separate"/>
        </w:r>
        <w:r>
          <w:rPr>
            <w:noProof/>
            <w:webHidden/>
          </w:rPr>
          <w:t>4</w:t>
        </w:r>
        <w:r w:rsidR="00C931D4">
          <w:rPr>
            <w:noProof/>
            <w:webHidden/>
          </w:rPr>
          <w:fldChar w:fldCharType="end"/>
        </w:r>
      </w:hyperlink>
    </w:p>
    <w:p w14:paraId="255C81F4" w14:textId="72146D8D" w:rsidR="00C931D4" w:rsidRDefault="00E202C8">
      <w:pPr>
        <w:pStyle w:val="TOC2"/>
        <w:tabs>
          <w:tab w:val="left" w:pos="880"/>
          <w:tab w:val="right" w:leader="dot" w:pos="9060"/>
        </w:tabs>
        <w:rPr>
          <w:rFonts w:eastAsiaTheme="minorEastAsia" w:cstheme="minorBidi"/>
          <w:smallCaps w:val="0"/>
          <w:noProof/>
          <w:sz w:val="22"/>
          <w:szCs w:val="22"/>
          <w:lang w:eastAsia="en-GB" w:bidi="ar-SA"/>
        </w:rPr>
      </w:pPr>
      <w:hyperlink w:anchor="_Toc46929394" w:history="1">
        <w:r w:rsidR="00C931D4" w:rsidRPr="001E588B">
          <w:rPr>
            <w:rStyle w:val="Hyperlink"/>
            <w:noProof/>
          </w:rPr>
          <w:t>1.1</w:t>
        </w:r>
        <w:r w:rsidR="00C931D4">
          <w:rPr>
            <w:rFonts w:eastAsiaTheme="minorEastAsia" w:cstheme="minorBidi"/>
            <w:smallCaps w:val="0"/>
            <w:noProof/>
            <w:sz w:val="22"/>
            <w:szCs w:val="22"/>
            <w:lang w:eastAsia="en-GB" w:bidi="ar-SA"/>
          </w:rPr>
          <w:tab/>
        </w:r>
        <w:r w:rsidR="00C931D4" w:rsidRPr="001E588B">
          <w:rPr>
            <w:rStyle w:val="Hyperlink"/>
            <w:noProof/>
          </w:rPr>
          <w:t>Objectives of the assessment</w:t>
        </w:r>
        <w:r w:rsidR="00C931D4">
          <w:rPr>
            <w:noProof/>
            <w:webHidden/>
          </w:rPr>
          <w:tab/>
        </w:r>
        <w:r w:rsidR="00C931D4">
          <w:rPr>
            <w:noProof/>
            <w:webHidden/>
          </w:rPr>
          <w:fldChar w:fldCharType="begin"/>
        </w:r>
        <w:r w:rsidR="00C931D4">
          <w:rPr>
            <w:noProof/>
            <w:webHidden/>
          </w:rPr>
          <w:instrText xml:space="preserve"> PAGEREF _Toc46929394 \h </w:instrText>
        </w:r>
        <w:r w:rsidR="00C931D4">
          <w:rPr>
            <w:noProof/>
            <w:webHidden/>
          </w:rPr>
        </w:r>
        <w:r w:rsidR="00C931D4">
          <w:rPr>
            <w:noProof/>
            <w:webHidden/>
          </w:rPr>
          <w:fldChar w:fldCharType="separate"/>
        </w:r>
        <w:r>
          <w:rPr>
            <w:noProof/>
            <w:webHidden/>
          </w:rPr>
          <w:t>4</w:t>
        </w:r>
        <w:r w:rsidR="00C931D4">
          <w:rPr>
            <w:noProof/>
            <w:webHidden/>
          </w:rPr>
          <w:fldChar w:fldCharType="end"/>
        </w:r>
      </w:hyperlink>
    </w:p>
    <w:p w14:paraId="68F239EA" w14:textId="7FF48476" w:rsidR="00C931D4" w:rsidRDefault="00E202C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929395" w:history="1">
        <w:r w:rsidR="00C931D4" w:rsidRPr="001E588B">
          <w:rPr>
            <w:rStyle w:val="Hyperlink"/>
            <w:noProof/>
          </w:rPr>
          <w:t>2</w:t>
        </w:r>
        <w:r w:rsidR="00C931D4">
          <w:rPr>
            <w:rFonts w:eastAsiaTheme="minorEastAsia" w:cstheme="minorBidi"/>
            <w:b w:val="0"/>
            <w:bCs w:val="0"/>
            <w:caps w:val="0"/>
            <w:noProof/>
            <w:sz w:val="22"/>
            <w:szCs w:val="22"/>
            <w:lang w:eastAsia="en-GB" w:bidi="ar-SA"/>
          </w:rPr>
          <w:tab/>
        </w:r>
        <w:r w:rsidR="00C931D4" w:rsidRPr="001E588B">
          <w:rPr>
            <w:rStyle w:val="Hyperlink"/>
            <w:noProof/>
          </w:rPr>
          <w:t>Food Technology assessment</w:t>
        </w:r>
        <w:r w:rsidR="00C931D4">
          <w:rPr>
            <w:noProof/>
            <w:webHidden/>
          </w:rPr>
          <w:tab/>
        </w:r>
        <w:r w:rsidR="00C931D4">
          <w:rPr>
            <w:noProof/>
            <w:webHidden/>
          </w:rPr>
          <w:fldChar w:fldCharType="begin"/>
        </w:r>
        <w:r w:rsidR="00C931D4">
          <w:rPr>
            <w:noProof/>
            <w:webHidden/>
          </w:rPr>
          <w:instrText xml:space="preserve"> PAGEREF _Toc46929395 \h </w:instrText>
        </w:r>
        <w:r w:rsidR="00C931D4">
          <w:rPr>
            <w:noProof/>
            <w:webHidden/>
          </w:rPr>
        </w:r>
        <w:r w:rsidR="00C931D4">
          <w:rPr>
            <w:noProof/>
            <w:webHidden/>
          </w:rPr>
          <w:fldChar w:fldCharType="separate"/>
        </w:r>
        <w:r>
          <w:rPr>
            <w:noProof/>
            <w:webHidden/>
          </w:rPr>
          <w:t>4</w:t>
        </w:r>
        <w:r w:rsidR="00C931D4">
          <w:rPr>
            <w:noProof/>
            <w:webHidden/>
          </w:rPr>
          <w:fldChar w:fldCharType="end"/>
        </w:r>
      </w:hyperlink>
    </w:p>
    <w:p w14:paraId="2FA4C2C4" w14:textId="7DF7802E" w:rsidR="00C931D4" w:rsidRDefault="00E202C8">
      <w:pPr>
        <w:pStyle w:val="TOC2"/>
        <w:tabs>
          <w:tab w:val="left" w:pos="880"/>
          <w:tab w:val="right" w:leader="dot" w:pos="9060"/>
        </w:tabs>
        <w:rPr>
          <w:rFonts w:eastAsiaTheme="minorEastAsia" w:cstheme="minorBidi"/>
          <w:smallCaps w:val="0"/>
          <w:noProof/>
          <w:sz w:val="22"/>
          <w:szCs w:val="22"/>
          <w:lang w:eastAsia="en-GB" w:bidi="ar-SA"/>
        </w:rPr>
      </w:pPr>
      <w:hyperlink w:anchor="_Toc46929396" w:history="1">
        <w:r w:rsidR="00C931D4" w:rsidRPr="001E588B">
          <w:rPr>
            <w:rStyle w:val="Hyperlink"/>
            <w:noProof/>
          </w:rPr>
          <w:t>2.1</w:t>
        </w:r>
        <w:r w:rsidR="00C931D4">
          <w:rPr>
            <w:rFonts w:eastAsiaTheme="minorEastAsia" w:cstheme="minorBidi"/>
            <w:smallCaps w:val="0"/>
            <w:noProof/>
            <w:sz w:val="22"/>
            <w:szCs w:val="22"/>
            <w:lang w:eastAsia="en-GB" w:bidi="ar-SA"/>
          </w:rPr>
          <w:tab/>
        </w:r>
        <w:r w:rsidR="00C931D4" w:rsidRPr="001E588B">
          <w:rPr>
            <w:rStyle w:val="Hyperlink"/>
            <w:noProof/>
          </w:rPr>
          <w:t>Chemical names, identification and structure</w:t>
        </w:r>
        <w:r w:rsidR="00C931D4">
          <w:rPr>
            <w:noProof/>
            <w:webHidden/>
          </w:rPr>
          <w:tab/>
        </w:r>
        <w:r w:rsidR="00C931D4">
          <w:rPr>
            <w:noProof/>
            <w:webHidden/>
          </w:rPr>
          <w:fldChar w:fldCharType="begin"/>
        </w:r>
        <w:r w:rsidR="00C931D4">
          <w:rPr>
            <w:noProof/>
            <w:webHidden/>
          </w:rPr>
          <w:instrText xml:space="preserve"> PAGEREF _Toc46929396 \h </w:instrText>
        </w:r>
        <w:r w:rsidR="00C931D4">
          <w:rPr>
            <w:noProof/>
            <w:webHidden/>
          </w:rPr>
        </w:r>
        <w:r w:rsidR="00C931D4">
          <w:rPr>
            <w:noProof/>
            <w:webHidden/>
          </w:rPr>
          <w:fldChar w:fldCharType="separate"/>
        </w:r>
        <w:r>
          <w:rPr>
            <w:noProof/>
            <w:webHidden/>
          </w:rPr>
          <w:t>4</w:t>
        </w:r>
        <w:r w:rsidR="00C931D4">
          <w:rPr>
            <w:noProof/>
            <w:webHidden/>
          </w:rPr>
          <w:fldChar w:fldCharType="end"/>
        </w:r>
      </w:hyperlink>
    </w:p>
    <w:p w14:paraId="5ED09D3D" w14:textId="036BF57C" w:rsidR="00C931D4" w:rsidRDefault="00E202C8">
      <w:pPr>
        <w:pStyle w:val="TOC2"/>
        <w:tabs>
          <w:tab w:val="left" w:pos="880"/>
          <w:tab w:val="right" w:leader="dot" w:pos="9060"/>
        </w:tabs>
        <w:rPr>
          <w:rFonts w:eastAsiaTheme="minorEastAsia" w:cstheme="minorBidi"/>
          <w:smallCaps w:val="0"/>
          <w:noProof/>
          <w:sz w:val="22"/>
          <w:szCs w:val="22"/>
          <w:lang w:eastAsia="en-GB" w:bidi="ar-SA"/>
        </w:rPr>
      </w:pPr>
      <w:hyperlink w:anchor="_Toc46929397" w:history="1">
        <w:r w:rsidR="00C931D4" w:rsidRPr="001E588B">
          <w:rPr>
            <w:rStyle w:val="Hyperlink"/>
            <w:noProof/>
          </w:rPr>
          <w:t>2.2</w:t>
        </w:r>
        <w:r w:rsidR="00C931D4">
          <w:rPr>
            <w:rFonts w:eastAsiaTheme="minorEastAsia" w:cstheme="minorBidi"/>
            <w:smallCaps w:val="0"/>
            <w:noProof/>
            <w:sz w:val="22"/>
            <w:szCs w:val="22"/>
            <w:lang w:eastAsia="en-GB" w:bidi="ar-SA"/>
          </w:rPr>
          <w:tab/>
        </w:r>
        <w:r w:rsidR="00C931D4" w:rsidRPr="001E588B">
          <w:rPr>
            <w:rStyle w:val="Hyperlink"/>
            <w:noProof/>
          </w:rPr>
          <w:t>Manufacturing process</w:t>
        </w:r>
        <w:r w:rsidR="00C931D4">
          <w:rPr>
            <w:noProof/>
            <w:webHidden/>
          </w:rPr>
          <w:tab/>
        </w:r>
        <w:r w:rsidR="00C931D4">
          <w:rPr>
            <w:noProof/>
            <w:webHidden/>
          </w:rPr>
          <w:fldChar w:fldCharType="begin"/>
        </w:r>
        <w:r w:rsidR="00C931D4">
          <w:rPr>
            <w:noProof/>
            <w:webHidden/>
          </w:rPr>
          <w:instrText xml:space="preserve"> PAGEREF _Toc46929397 \h </w:instrText>
        </w:r>
        <w:r w:rsidR="00C931D4">
          <w:rPr>
            <w:noProof/>
            <w:webHidden/>
          </w:rPr>
        </w:r>
        <w:r w:rsidR="00C931D4">
          <w:rPr>
            <w:noProof/>
            <w:webHidden/>
          </w:rPr>
          <w:fldChar w:fldCharType="separate"/>
        </w:r>
        <w:r>
          <w:rPr>
            <w:noProof/>
            <w:webHidden/>
          </w:rPr>
          <w:t>5</w:t>
        </w:r>
        <w:r w:rsidR="00C931D4">
          <w:rPr>
            <w:noProof/>
            <w:webHidden/>
          </w:rPr>
          <w:fldChar w:fldCharType="end"/>
        </w:r>
      </w:hyperlink>
    </w:p>
    <w:p w14:paraId="042D044E" w14:textId="47BB97E5" w:rsidR="00C931D4" w:rsidRDefault="00E202C8">
      <w:pPr>
        <w:pStyle w:val="TOC2"/>
        <w:tabs>
          <w:tab w:val="left" w:pos="880"/>
          <w:tab w:val="right" w:leader="dot" w:pos="9060"/>
        </w:tabs>
        <w:rPr>
          <w:rFonts w:eastAsiaTheme="minorEastAsia" w:cstheme="minorBidi"/>
          <w:smallCaps w:val="0"/>
          <w:noProof/>
          <w:sz w:val="22"/>
          <w:szCs w:val="22"/>
          <w:lang w:eastAsia="en-GB" w:bidi="ar-SA"/>
        </w:rPr>
      </w:pPr>
      <w:hyperlink w:anchor="_Toc46929398" w:history="1">
        <w:r w:rsidR="00C931D4" w:rsidRPr="001E588B">
          <w:rPr>
            <w:rStyle w:val="Hyperlink"/>
            <w:noProof/>
          </w:rPr>
          <w:t>2.3</w:t>
        </w:r>
        <w:r w:rsidR="00C931D4">
          <w:rPr>
            <w:rFonts w:eastAsiaTheme="minorEastAsia" w:cstheme="minorBidi"/>
            <w:smallCaps w:val="0"/>
            <w:noProof/>
            <w:sz w:val="22"/>
            <w:szCs w:val="22"/>
            <w:lang w:eastAsia="en-GB" w:bidi="ar-SA"/>
          </w:rPr>
          <w:tab/>
        </w:r>
        <w:r w:rsidR="00C931D4" w:rsidRPr="001E588B">
          <w:rPr>
            <w:rStyle w:val="Hyperlink"/>
            <w:noProof/>
          </w:rPr>
          <w:t>Purity</w:t>
        </w:r>
        <w:r w:rsidR="00C931D4">
          <w:rPr>
            <w:noProof/>
            <w:webHidden/>
          </w:rPr>
          <w:tab/>
        </w:r>
        <w:r w:rsidR="00C931D4">
          <w:rPr>
            <w:noProof/>
            <w:webHidden/>
          </w:rPr>
          <w:fldChar w:fldCharType="begin"/>
        </w:r>
        <w:r w:rsidR="00C931D4">
          <w:rPr>
            <w:noProof/>
            <w:webHidden/>
          </w:rPr>
          <w:instrText xml:space="preserve"> PAGEREF _Toc46929398 \h </w:instrText>
        </w:r>
        <w:r w:rsidR="00C931D4">
          <w:rPr>
            <w:noProof/>
            <w:webHidden/>
          </w:rPr>
        </w:r>
        <w:r w:rsidR="00C931D4">
          <w:rPr>
            <w:noProof/>
            <w:webHidden/>
          </w:rPr>
          <w:fldChar w:fldCharType="separate"/>
        </w:r>
        <w:r>
          <w:rPr>
            <w:noProof/>
            <w:webHidden/>
          </w:rPr>
          <w:t>6</w:t>
        </w:r>
        <w:r w:rsidR="00C931D4">
          <w:rPr>
            <w:noProof/>
            <w:webHidden/>
          </w:rPr>
          <w:fldChar w:fldCharType="end"/>
        </w:r>
      </w:hyperlink>
    </w:p>
    <w:p w14:paraId="4E0AE154" w14:textId="77AFF78C" w:rsidR="00C931D4" w:rsidRDefault="00E202C8">
      <w:pPr>
        <w:pStyle w:val="TOC2"/>
        <w:tabs>
          <w:tab w:val="left" w:pos="880"/>
          <w:tab w:val="right" w:leader="dot" w:pos="9060"/>
        </w:tabs>
        <w:rPr>
          <w:rFonts w:eastAsiaTheme="minorEastAsia" w:cstheme="minorBidi"/>
          <w:smallCaps w:val="0"/>
          <w:noProof/>
          <w:sz w:val="22"/>
          <w:szCs w:val="22"/>
          <w:lang w:eastAsia="en-GB" w:bidi="ar-SA"/>
        </w:rPr>
      </w:pPr>
      <w:hyperlink w:anchor="_Toc46929399" w:history="1">
        <w:r w:rsidR="00C931D4" w:rsidRPr="001E588B">
          <w:rPr>
            <w:rStyle w:val="Hyperlink"/>
            <w:noProof/>
          </w:rPr>
          <w:t>2.4</w:t>
        </w:r>
        <w:r w:rsidR="00C931D4">
          <w:rPr>
            <w:rFonts w:eastAsiaTheme="minorEastAsia" w:cstheme="minorBidi"/>
            <w:smallCaps w:val="0"/>
            <w:noProof/>
            <w:sz w:val="22"/>
            <w:szCs w:val="22"/>
            <w:lang w:eastAsia="en-GB" w:bidi="ar-SA"/>
          </w:rPr>
          <w:tab/>
        </w:r>
        <w:r w:rsidR="00C931D4" w:rsidRPr="001E588B">
          <w:rPr>
            <w:rStyle w:val="Hyperlink"/>
            <w:noProof/>
          </w:rPr>
          <w:t>Stability</w:t>
        </w:r>
        <w:r w:rsidR="00C931D4">
          <w:rPr>
            <w:noProof/>
            <w:webHidden/>
          </w:rPr>
          <w:tab/>
        </w:r>
        <w:r w:rsidR="00C931D4">
          <w:rPr>
            <w:noProof/>
            <w:webHidden/>
          </w:rPr>
          <w:fldChar w:fldCharType="begin"/>
        </w:r>
        <w:r w:rsidR="00C931D4">
          <w:rPr>
            <w:noProof/>
            <w:webHidden/>
          </w:rPr>
          <w:instrText xml:space="preserve"> PAGEREF _Toc46929399 \h </w:instrText>
        </w:r>
        <w:r w:rsidR="00C931D4">
          <w:rPr>
            <w:noProof/>
            <w:webHidden/>
          </w:rPr>
        </w:r>
        <w:r w:rsidR="00C931D4">
          <w:rPr>
            <w:noProof/>
            <w:webHidden/>
          </w:rPr>
          <w:fldChar w:fldCharType="separate"/>
        </w:r>
        <w:r>
          <w:rPr>
            <w:noProof/>
            <w:webHidden/>
          </w:rPr>
          <w:t>7</w:t>
        </w:r>
        <w:r w:rsidR="00C931D4">
          <w:rPr>
            <w:noProof/>
            <w:webHidden/>
          </w:rPr>
          <w:fldChar w:fldCharType="end"/>
        </w:r>
      </w:hyperlink>
    </w:p>
    <w:p w14:paraId="127327D0" w14:textId="2A842B37" w:rsidR="00C931D4" w:rsidRDefault="00E202C8">
      <w:pPr>
        <w:pStyle w:val="TOC2"/>
        <w:tabs>
          <w:tab w:val="left" w:pos="880"/>
          <w:tab w:val="right" w:leader="dot" w:pos="9060"/>
        </w:tabs>
        <w:rPr>
          <w:rFonts w:eastAsiaTheme="minorEastAsia" w:cstheme="minorBidi"/>
          <w:smallCaps w:val="0"/>
          <w:noProof/>
          <w:sz w:val="22"/>
          <w:szCs w:val="22"/>
          <w:lang w:eastAsia="en-GB" w:bidi="ar-SA"/>
        </w:rPr>
      </w:pPr>
      <w:hyperlink w:anchor="_Toc46929400" w:history="1">
        <w:r w:rsidR="00C931D4" w:rsidRPr="001E588B">
          <w:rPr>
            <w:rStyle w:val="Hyperlink"/>
            <w:noProof/>
          </w:rPr>
          <w:t>2.5</w:t>
        </w:r>
        <w:r w:rsidR="00C931D4">
          <w:rPr>
            <w:rFonts w:eastAsiaTheme="minorEastAsia" w:cstheme="minorBidi"/>
            <w:smallCaps w:val="0"/>
            <w:noProof/>
            <w:sz w:val="22"/>
            <w:szCs w:val="22"/>
            <w:lang w:eastAsia="en-GB" w:bidi="ar-SA"/>
          </w:rPr>
          <w:tab/>
        </w:r>
        <w:r w:rsidR="00C931D4" w:rsidRPr="001E588B">
          <w:rPr>
            <w:rStyle w:val="Hyperlink"/>
            <w:noProof/>
          </w:rPr>
          <w:t>Technological function</w:t>
        </w:r>
        <w:r w:rsidR="00C931D4">
          <w:rPr>
            <w:noProof/>
            <w:webHidden/>
          </w:rPr>
          <w:tab/>
        </w:r>
        <w:r w:rsidR="00C931D4">
          <w:rPr>
            <w:noProof/>
            <w:webHidden/>
          </w:rPr>
          <w:fldChar w:fldCharType="begin"/>
        </w:r>
        <w:r w:rsidR="00C931D4">
          <w:rPr>
            <w:noProof/>
            <w:webHidden/>
          </w:rPr>
          <w:instrText xml:space="preserve"> PAGEREF _Toc46929400 \h </w:instrText>
        </w:r>
        <w:r w:rsidR="00C931D4">
          <w:rPr>
            <w:noProof/>
            <w:webHidden/>
          </w:rPr>
        </w:r>
        <w:r w:rsidR="00C931D4">
          <w:rPr>
            <w:noProof/>
            <w:webHidden/>
          </w:rPr>
          <w:fldChar w:fldCharType="separate"/>
        </w:r>
        <w:r>
          <w:rPr>
            <w:noProof/>
            <w:webHidden/>
          </w:rPr>
          <w:t>7</w:t>
        </w:r>
        <w:r w:rsidR="00C931D4">
          <w:rPr>
            <w:noProof/>
            <w:webHidden/>
          </w:rPr>
          <w:fldChar w:fldCharType="end"/>
        </w:r>
      </w:hyperlink>
    </w:p>
    <w:p w14:paraId="66CB174C" w14:textId="1A46702F" w:rsidR="00C931D4" w:rsidRDefault="00E202C8">
      <w:pPr>
        <w:pStyle w:val="TOC2"/>
        <w:tabs>
          <w:tab w:val="left" w:pos="880"/>
          <w:tab w:val="right" w:leader="dot" w:pos="9060"/>
        </w:tabs>
        <w:rPr>
          <w:rFonts w:eastAsiaTheme="minorEastAsia" w:cstheme="minorBidi"/>
          <w:smallCaps w:val="0"/>
          <w:noProof/>
          <w:sz w:val="22"/>
          <w:szCs w:val="22"/>
          <w:lang w:eastAsia="en-GB" w:bidi="ar-SA"/>
        </w:rPr>
      </w:pPr>
      <w:hyperlink w:anchor="_Toc46929401" w:history="1">
        <w:r w:rsidR="00C931D4" w:rsidRPr="001E588B">
          <w:rPr>
            <w:rStyle w:val="Hyperlink"/>
            <w:noProof/>
          </w:rPr>
          <w:t>2.6</w:t>
        </w:r>
        <w:r w:rsidR="00C931D4">
          <w:rPr>
            <w:rFonts w:eastAsiaTheme="minorEastAsia" w:cstheme="minorBidi"/>
            <w:smallCaps w:val="0"/>
            <w:noProof/>
            <w:sz w:val="22"/>
            <w:szCs w:val="22"/>
            <w:lang w:eastAsia="en-GB" w:bidi="ar-SA"/>
          </w:rPr>
          <w:tab/>
        </w:r>
        <w:r w:rsidR="00C931D4" w:rsidRPr="001E588B">
          <w:rPr>
            <w:rStyle w:val="Hyperlink"/>
            <w:noProof/>
          </w:rPr>
          <w:t>Methods of analysis in beverages</w:t>
        </w:r>
        <w:r w:rsidR="00C931D4">
          <w:rPr>
            <w:noProof/>
            <w:webHidden/>
          </w:rPr>
          <w:tab/>
        </w:r>
        <w:r w:rsidR="00C931D4">
          <w:rPr>
            <w:noProof/>
            <w:webHidden/>
          </w:rPr>
          <w:fldChar w:fldCharType="begin"/>
        </w:r>
        <w:r w:rsidR="00C931D4">
          <w:rPr>
            <w:noProof/>
            <w:webHidden/>
          </w:rPr>
          <w:instrText xml:space="preserve"> PAGEREF _Toc46929401 \h </w:instrText>
        </w:r>
        <w:r w:rsidR="00C931D4">
          <w:rPr>
            <w:noProof/>
            <w:webHidden/>
          </w:rPr>
        </w:r>
        <w:r w:rsidR="00C931D4">
          <w:rPr>
            <w:noProof/>
            <w:webHidden/>
          </w:rPr>
          <w:fldChar w:fldCharType="separate"/>
        </w:r>
        <w:r>
          <w:rPr>
            <w:noProof/>
            <w:webHidden/>
          </w:rPr>
          <w:t>7</w:t>
        </w:r>
        <w:r w:rsidR="00C931D4">
          <w:rPr>
            <w:noProof/>
            <w:webHidden/>
          </w:rPr>
          <w:fldChar w:fldCharType="end"/>
        </w:r>
      </w:hyperlink>
    </w:p>
    <w:p w14:paraId="1849BC6B" w14:textId="13C76EA5" w:rsidR="00C931D4" w:rsidRDefault="00E202C8">
      <w:pPr>
        <w:pStyle w:val="TOC2"/>
        <w:tabs>
          <w:tab w:val="left" w:pos="880"/>
          <w:tab w:val="right" w:leader="dot" w:pos="9060"/>
        </w:tabs>
        <w:rPr>
          <w:rFonts w:eastAsiaTheme="minorEastAsia" w:cstheme="minorBidi"/>
          <w:smallCaps w:val="0"/>
          <w:noProof/>
          <w:sz w:val="22"/>
          <w:szCs w:val="22"/>
          <w:lang w:eastAsia="en-GB" w:bidi="ar-SA"/>
        </w:rPr>
      </w:pPr>
      <w:hyperlink w:anchor="_Toc46929402" w:history="1">
        <w:r w:rsidR="00C931D4" w:rsidRPr="001E588B">
          <w:rPr>
            <w:rStyle w:val="Hyperlink"/>
            <w:noProof/>
          </w:rPr>
          <w:t>2.7</w:t>
        </w:r>
        <w:r w:rsidR="00C931D4">
          <w:rPr>
            <w:rFonts w:eastAsiaTheme="minorEastAsia" w:cstheme="minorBidi"/>
            <w:smallCaps w:val="0"/>
            <w:noProof/>
            <w:sz w:val="22"/>
            <w:szCs w:val="22"/>
            <w:lang w:eastAsia="en-GB" w:bidi="ar-SA"/>
          </w:rPr>
          <w:tab/>
        </w:r>
        <w:r w:rsidR="00C931D4" w:rsidRPr="001E588B">
          <w:rPr>
            <w:rStyle w:val="Hyperlink"/>
            <w:noProof/>
          </w:rPr>
          <w:t>Food technology conclusion</w:t>
        </w:r>
        <w:r w:rsidR="00C931D4">
          <w:rPr>
            <w:noProof/>
            <w:webHidden/>
          </w:rPr>
          <w:tab/>
        </w:r>
        <w:r w:rsidR="00C931D4">
          <w:rPr>
            <w:noProof/>
            <w:webHidden/>
          </w:rPr>
          <w:fldChar w:fldCharType="begin"/>
        </w:r>
        <w:r w:rsidR="00C931D4">
          <w:rPr>
            <w:noProof/>
            <w:webHidden/>
          </w:rPr>
          <w:instrText xml:space="preserve"> PAGEREF _Toc46929402 \h </w:instrText>
        </w:r>
        <w:r w:rsidR="00C931D4">
          <w:rPr>
            <w:noProof/>
            <w:webHidden/>
          </w:rPr>
        </w:r>
        <w:r w:rsidR="00C931D4">
          <w:rPr>
            <w:noProof/>
            <w:webHidden/>
          </w:rPr>
          <w:fldChar w:fldCharType="separate"/>
        </w:r>
        <w:r>
          <w:rPr>
            <w:noProof/>
            <w:webHidden/>
          </w:rPr>
          <w:t>7</w:t>
        </w:r>
        <w:r w:rsidR="00C931D4">
          <w:rPr>
            <w:noProof/>
            <w:webHidden/>
          </w:rPr>
          <w:fldChar w:fldCharType="end"/>
        </w:r>
      </w:hyperlink>
    </w:p>
    <w:p w14:paraId="5FCE075F" w14:textId="5CBA2584" w:rsidR="00C931D4" w:rsidRDefault="00E202C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929403" w:history="1">
        <w:r w:rsidR="00C931D4" w:rsidRPr="001E588B">
          <w:rPr>
            <w:rStyle w:val="Hyperlink"/>
            <w:noProof/>
          </w:rPr>
          <w:t>3</w:t>
        </w:r>
        <w:r w:rsidR="00C931D4">
          <w:rPr>
            <w:rFonts w:eastAsiaTheme="minorEastAsia" w:cstheme="minorBidi"/>
            <w:b w:val="0"/>
            <w:bCs w:val="0"/>
            <w:caps w:val="0"/>
            <w:noProof/>
            <w:sz w:val="22"/>
            <w:szCs w:val="22"/>
            <w:lang w:eastAsia="en-GB" w:bidi="ar-SA"/>
          </w:rPr>
          <w:tab/>
        </w:r>
        <w:r w:rsidR="00C931D4" w:rsidRPr="001E588B">
          <w:rPr>
            <w:rStyle w:val="Hyperlink"/>
            <w:noProof/>
          </w:rPr>
          <w:t>Efficacy of Glycolipid mixture (AM-1)</w:t>
        </w:r>
        <w:r w:rsidR="00C931D4">
          <w:rPr>
            <w:noProof/>
            <w:webHidden/>
          </w:rPr>
          <w:tab/>
        </w:r>
        <w:r w:rsidR="00C931D4">
          <w:rPr>
            <w:noProof/>
            <w:webHidden/>
          </w:rPr>
          <w:fldChar w:fldCharType="begin"/>
        </w:r>
        <w:r w:rsidR="00C931D4">
          <w:rPr>
            <w:noProof/>
            <w:webHidden/>
          </w:rPr>
          <w:instrText xml:space="preserve"> PAGEREF _Toc46929403 \h </w:instrText>
        </w:r>
        <w:r w:rsidR="00C931D4">
          <w:rPr>
            <w:noProof/>
            <w:webHidden/>
          </w:rPr>
        </w:r>
        <w:r w:rsidR="00C931D4">
          <w:rPr>
            <w:noProof/>
            <w:webHidden/>
          </w:rPr>
          <w:fldChar w:fldCharType="separate"/>
        </w:r>
        <w:r>
          <w:rPr>
            <w:noProof/>
            <w:webHidden/>
          </w:rPr>
          <w:t>8</w:t>
        </w:r>
        <w:r w:rsidR="00C931D4">
          <w:rPr>
            <w:noProof/>
            <w:webHidden/>
          </w:rPr>
          <w:fldChar w:fldCharType="end"/>
        </w:r>
      </w:hyperlink>
    </w:p>
    <w:p w14:paraId="7DFDB1AF" w14:textId="2460E78D" w:rsidR="00C931D4" w:rsidRDefault="00E202C8">
      <w:pPr>
        <w:pStyle w:val="TOC2"/>
        <w:tabs>
          <w:tab w:val="right" w:leader="dot" w:pos="9060"/>
        </w:tabs>
        <w:rPr>
          <w:rFonts w:eastAsiaTheme="minorEastAsia" w:cstheme="minorBidi"/>
          <w:smallCaps w:val="0"/>
          <w:noProof/>
          <w:sz w:val="22"/>
          <w:szCs w:val="22"/>
          <w:lang w:eastAsia="en-GB" w:bidi="ar-SA"/>
        </w:rPr>
      </w:pPr>
      <w:hyperlink w:anchor="_Toc46929404" w:history="1">
        <w:r w:rsidR="00C931D4" w:rsidRPr="001E588B">
          <w:rPr>
            <w:rStyle w:val="Hyperlink"/>
            <w:noProof/>
          </w:rPr>
          <w:t>3.1 Mode of action and minimum inhibitory concentrations</w:t>
        </w:r>
        <w:r w:rsidR="00C931D4">
          <w:rPr>
            <w:noProof/>
            <w:webHidden/>
          </w:rPr>
          <w:tab/>
        </w:r>
        <w:r w:rsidR="00C931D4">
          <w:rPr>
            <w:noProof/>
            <w:webHidden/>
          </w:rPr>
          <w:fldChar w:fldCharType="begin"/>
        </w:r>
        <w:r w:rsidR="00C931D4">
          <w:rPr>
            <w:noProof/>
            <w:webHidden/>
          </w:rPr>
          <w:instrText xml:space="preserve"> PAGEREF _Toc46929404 \h </w:instrText>
        </w:r>
        <w:r w:rsidR="00C931D4">
          <w:rPr>
            <w:noProof/>
            <w:webHidden/>
          </w:rPr>
        </w:r>
        <w:r w:rsidR="00C931D4">
          <w:rPr>
            <w:noProof/>
            <w:webHidden/>
          </w:rPr>
          <w:fldChar w:fldCharType="separate"/>
        </w:r>
        <w:r>
          <w:rPr>
            <w:noProof/>
            <w:webHidden/>
          </w:rPr>
          <w:t>8</w:t>
        </w:r>
        <w:r w:rsidR="00C931D4">
          <w:rPr>
            <w:noProof/>
            <w:webHidden/>
          </w:rPr>
          <w:fldChar w:fldCharType="end"/>
        </w:r>
      </w:hyperlink>
    </w:p>
    <w:p w14:paraId="08966F2E" w14:textId="7019C13B" w:rsidR="00C931D4" w:rsidRDefault="00E202C8">
      <w:pPr>
        <w:pStyle w:val="TOC2"/>
        <w:tabs>
          <w:tab w:val="right" w:leader="dot" w:pos="9060"/>
        </w:tabs>
        <w:rPr>
          <w:rFonts w:eastAsiaTheme="minorEastAsia" w:cstheme="minorBidi"/>
          <w:smallCaps w:val="0"/>
          <w:noProof/>
          <w:sz w:val="22"/>
          <w:szCs w:val="22"/>
          <w:lang w:eastAsia="en-GB" w:bidi="ar-SA"/>
        </w:rPr>
      </w:pPr>
      <w:hyperlink w:anchor="_Toc46929405" w:history="1">
        <w:r w:rsidR="00C931D4" w:rsidRPr="001E588B">
          <w:rPr>
            <w:rStyle w:val="Hyperlink"/>
            <w:noProof/>
          </w:rPr>
          <w:t>3.2 Challenge study</w:t>
        </w:r>
        <w:r w:rsidR="00C931D4">
          <w:rPr>
            <w:noProof/>
            <w:webHidden/>
          </w:rPr>
          <w:tab/>
        </w:r>
        <w:r w:rsidR="00C931D4">
          <w:rPr>
            <w:noProof/>
            <w:webHidden/>
          </w:rPr>
          <w:fldChar w:fldCharType="begin"/>
        </w:r>
        <w:r w:rsidR="00C931D4">
          <w:rPr>
            <w:noProof/>
            <w:webHidden/>
          </w:rPr>
          <w:instrText xml:space="preserve"> PAGEREF _Toc46929405 \h </w:instrText>
        </w:r>
        <w:r w:rsidR="00C931D4">
          <w:rPr>
            <w:noProof/>
            <w:webHidden/>
          </w:rPr>
        </w:r>
        <w:r w:rsidR="00C931D4">
          <w:rPr>
            <w:noProof/>
            <w:webHidden/>
          </w:rPr>
          <w:fldChar w:fldCharType="separate"/>
        </w:r>
        <w:r>
          <w:rPr>
            <w:noProof/>
            <w:webHidden/>
          </w:rPr>
          <w:t>9</w:t>
        </w:r>
        <w:r w:rsidR="00C931D4">
          <w:rPr>
            <w:noProof/>
            <w:webHidden/>
          </w:rPr>
          <w:fldChar w:fldCharType="end"/>
        </w:r>
      </w:hyperlink>
    </w:p>
    <w:p w14:paraId="0E33DAB5" w14:textId="34807C4F" w:rsidR="00C931D4" w:rsidRDefault="00E202C8">
      <w:pPr>
        <w:pStyle w:val="TOC2"/>
        <w:tabs>
          <w:tab w:val="right" w:leader="dot" w:pos="9060"/>
        </w:tabs>
        <w:rPr>
          <w:rFonts w:eastAsiaTheme="minorEastAsia" w:cstheme="minorBidi"/>
          <w:smallCaps w:val="0"/>
          <w:noProof/>
          <w:sz w:val="22"/>
          <w:szCs w:val="22"/>
          <w:lang w:eastAsia="en-GB" w:bidi="ar-SA"/>
        </w:rPr>
      </w:pPr>
      <w:hyperlink w:anchor="_Toc46929406" w:history="1">
        <w:r w:rsidR="00C931D4" w:rsidRPr="001E588B">
          <w:rPr>
            <w:rStyle w:val="Hyperlink"/>
            <w:noProof/>
          </w:rPr>
          <w:t>3.3 Discussion and conclusion</w:t>
        </w:r>
        <w:r w:rsidR="00C931D4">
          <w:rPr>
            <w:noProof/>
            <w:webHidden/>
          </w:rPr>
          <w:tab/>
        </w:r>
        <w:r w:rsidR="00C931D4">
          <w:rPr>
            <w:noProof/>
            <w:webHidden/>
          </w:rPr>
          <w:fldChar w:fldCharType="begin"/>
        </w:r>
        <w:r w:rsidR="00C931D4">
          <w:rPr>
            <w:noProof/>
            <w:webHidden/>
          </w:rPr>
          <w:instrText xml:space="preserve"> PAGEREF _Toc46929406 \h </w:instrText>
        </w:r>
        <w:r w:rsidR="00C931D4">
          <w:rPr>
            <w:noProof/>
            <w:webHidden/>
          </w:rPr>
        </w:r>
        <w:r w:rsidR="00C931D4">
          <w:rPr>
            <w:noProof/>
            <w:webHidden/>
          </w:rPr>
          <w:fldChar w:fldCharType="separate"/>
        </w:r>
        <w:r>
          <w:rPr>
            <w:noProof/>
            <w:webHidden/>
          </w:rPr>
          <w:t>10</w:t>
        </w:r>
        <w:r w:rsidR="00C931D4">
          <w:rPr>
            <w:noProof/>
            <w:webHidden/>
          </w:rPr>
          <w:fldChar w:fldCharType="end"/>
        </w:r>
      </w:hyperlink>
    </w:p>
    <w:p w14:paraId="7659FE8F" w14:textId="36F15CEF" w:rsidR="00C931D4" w:rsidRDefault="00E202C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929407" w:history="1">
        <w:r w:rsidR="00C931D4" w:rsidRPr="001E588B">
          <w:rPr>
            <w:rStyle w:val="Hyperlink"/>
            <w:noProof/>
          </w:rPr>
          <w:t>4</w:t>
        </w:r>
        <w:r w:rsidR="00C931D4">
          <w:rPr>
            <w:rFonts w:eastAsiaTheme="minorEastAsia" w:cstheme="minorBidi"/>
            <w:b w:val="0"/>
            <w:bCs w:val="0"/>
            <w:caps w:val="0"/>
            <w:noProof/>
            <w:sz w:val="22"/>
            <w:szCs w:val="22"/>
            <w:lang w:eastAsia="en-GB" w:bidi="ar-SA"/>
          </w:rPr>
          <w:tab/>
        </w:r>
        <w:r w:rsidR="00C931D4" w:rsidRPr="001E588B">
          <w:rPr>
            <w:rStyle w:val="Hyperlink"/>
            <w:noProof/>
          </w:rPr>
          <w:t>Safety assessment</w:t>
        </w:r>
        <w:r w:rsidR="00C931D4">
          <w:rPr>
            <w:noProof/>
            <w:webHidden/>
          </w:rPr>
          <w:tab/>
        </w:r>
        <w:r w:rsidR="00C931D4">
          <w:rPr>
            <w:noProof/>
            <w:webHidden/>
          </w:rPr>
          <w:fldChar w:fldCharType="begin"/>
        </w:r>
        <w:r w:rsidR="00C931D4">
          <w:rPr>
            <w:noProof/>
            <w:webHidden/>
          </w:rPr>
          <w:instrText xml:space="preserve"> PAGEREF _Toc46929407 \h </w:instrText>
        </w:r>
        <w:r w:rsidR="00C931D4">
          <w:rPr>
            <w:noProof/>
            <w:webHidden/>
          </w:rPr>
        </w:r>
        <w:r w:rsidR="00C931D4">
          <w:rPr>
            <w:noProof/>
            <w:webHidden/>
          </w:rPr>
          <w:fldChar w:fldCharType="separate"/>
        </w:r>
        <w:r>
          <w:rPr>
            <w:noProof/>
            <w:webHidden/>
          </w:rPr>
          <w:t>11</w:t>
        </w:r>
        <w:r w:rsidR="00C931D4">
          <w:rPr>
            <w:noProof/>
            <w:webHidden/>
          </w:rPr>
          <w:fldChar w:fldCharType="end"/>
        </w:r>
      </w:hyperlink>
    </w:p>
    <w:p w14:paraId="7587A59D" w14:textId="2B63C19D" w:rsidR="00C931D4" w:rsidRDefault="00E202C8">
      <w:pPr>
        <w:pStyle w:val="TOC2"/>
        <w:tabs>
          <w:tab w:val="right" w:leader="dot" w:pos="9060"/>
        </w:tabs>
        <w:rPr>
          <w:rFonts w:eastAsiaTheme="minorEastAsia" w:cstheme="minorBidi"/>
          <w:smallCaps w:val="0"/>
          <w:noProof/>
          <w:sz w:val="22"/>
          <w:szCs w:val="22"/>
          <w:lang w:eastAsia="en-GB" w:bidi="ar-SA"/>
        </w:rPr>
      </w:pPr>
      <w:hyperlink w:anchor="_Toc46929408" w:history="1">
        <w:r w:rsidR="00C931D4" w:rsidRPr="001E588B">
          <w:rPr>
            <w:rStyle w:val="Hyperlink"/>
            <w:noProof/>
          </w:rPr>
          <w:t>4.1 Background</w:t>
        </w:r>
        <w:r w:rsidR="00C931D4">
          <w:rPr>
            <w:noProof/>
            <w:webHidden/>
          </w:rPr>
          <w:tab/>
        </w:r>
        <w:r w:rsidR="00C931D4">
          <w:rPr>
            <w:noProof/>
            <w:webHidden/>
          </w:rPr>
          <w:fldChar w:fldCharType="begin"/>
        </w:r>
        <w:r w:rsidR="00C931D4">
          <w:rPr>
            <w:noProof/>
            <w:webHidden/>
          </w:rPr>
          <w:instrText xml:space="preserve"> PAGEREF _Toc46929408 \h </w:instrText>
        </w:r>
        <w:r w:rsidR="00C931D4">
          <w:rPr>
            <w:noProof/>
            <w:webHidden/>
          </w:rPr>
        </w:r>
        <w:r w:rsidR="00C931D4">
          <w:rPr>
            <w:noProof/>
            <w:webHidden/>
          </w:rPr>
          <w:fldChar w:fldCharType="separate"/>
        </w:r>
        <w:r>
          <w:rPr>
            <w:noProof/>
            <w:webHidden/>
          </w:rPr>
          <w:t>11</w:t>
        </w:r>
        <w:r w:rsidR="00C931D4">
          <w:rPr>
            <w:noProof/>
            <w:webHidden/>
          </w:rPr>
          <w:fldChar w:fldCharType="end"/>
        </w:r>
      </w:hyperlink>
    </w:p>
    <w:p w14:paraId="6FE96700" w14:textId="13E4E702" w:rsidR="00C931D4" w:rsidRDefault="00E202C8">
      <w:pPr>
        <w:pStyle w:val="TOC3"/>
        <w:tabs>
          <w:tab w:val="right" w:leader="dot" w:pos="9060"/>
        </w:tabs>
        <w:rPr>
          <w:rFonts w:eastAsiaTheme="minorEastAsia" w:cstheme="minorBidi"/>
          <w:i w:val="0"/>
          <w:iCs w:val="0"/>
          <w:noProof/>
          <w:sz w:val="22"/>
          <w:szCs w:val="22"/>
          <w:lang w:eastAsia="en-GB" w:bidi="ar-SA"/>
        </w:rPr>
      </w:pPr>
      <w:hyperlink w:anchor="_Toc46929409" w:history="1">
        <w:r w:rsidR="00C931D4" w:rsidRPr="001E588B">
          <w:rPr>
            <w:rStyle w:val="Hyperlink"/>
            <w:noProof/>
          </w:rPr>
          <w:t>4.1.1 Evaluation of the submitted data</w:t>
        </w:r>
        <w:r w:rsidR="00C931D4">
          <w:rPr>
            <w:noProof/>
            <w:webHidden/>
          </w:rPr>
          <w:tab/>
        </w:r>
        <w:r w:rsidR="00C931D4">
          <w:rPr>
            <w:noProof/>
            <w:webHidden/>
          </w:rPr>
          <w:fldChar w:fldCharType="begin"/>
        </w:r>
        <w:r w:rsidR="00C931D4">
          <w:rPr>
            <w:noProof/>
            <w:webHidden/>
          </w:rPr>
          <w:instrText xml:space="preserve"> PAGEREF _Toc46929409 \h </w:instrText>
        </w:r>
        <w:r w:rsidR="00C931D4">
          <w:rPr>
            <w:noProof/>
            <w:webHidden/>
          </w:rPr>
        </w:r>
        <w:r w:rsidR="00C931D4">
          <w:rPr>
            <w:noProof/>
            <w:webHidden/>
          </w:rPr>
          <w:fldChar w:fldCharType="separate"/>
        </w:r>
        <w:r>
          <w:rPr>
            <w:noProof/>
            <w:webHidden/>
          </w:rPr>
          <w:t>11</w:t>
        </w:r>
        <w:r w:rsidR="00C931D4">
          <w:rPr>
            <w:noProof/>
            <w:webHidden/>
          </w:rPr>
          <w:fldChar w:fldCharType="end"/>
        </w:r>
      </w:hyperlink>
    </w:p>
    <w:p w14:paraId="68216BA6" w14:textId="51E9E8E2" w:rsidR="00C931D4" w:rsidRDefault="00E202C8">
      <w:pPr>
        <w:pStyle w:val="TOC3"/>
        <w:tabs>
          <w:tab w:val="right" w:leader="dot" w:pos="9060"/>
        </w:tabs>
        <w:rPr>
          <w:rFonts w:eastAsiaTheme="minorEastAsia" w:cstheme="minorBidi"/>
          <w:i w:val="0"/>
          <w:iCs w:val="0"/>
          <w:noProof/>
          <w:sz w:val="22"/>
          <w:szCs w:val="22"/>
          <w:lang w:eastAsia="en-GB" w:bidi="ar-SA"/>
        </w:rPr>
      </w:pPr>
      <w:hyperlink w:anchor="_Toc46929410" w:history="1">
        <w:r w:rsidR="00C931D4" w:rsidRPr="001E588B">
          <w:rPr>
            <w:rStyle w:val="Hyperlink"/>
            <w:noProof/>
          </w:rPr>
          <w:t>4.1.2 Characteristics of jelly mushroom glycolipids</w:t>
        </w:r>
        <w:r w:rsidR="00C931D4">
          <w:rPr>
            <w:noProof/>
            <w:webHidden/>
          </w:rPr>
          <w:tab/>
        </w:r>
        <w:r w:rsidR="00C931D4">
          <w:rPr>
            <w:noProof/>
            <w:webHidden/>
          </w:rPr>
          <w:fldChar w:fldCharType="begin"/>
        </w:r>
        <w:r w:rsidR="00C931D4">
          <w:rPr>
            <w:noProof/>
            <w:webHidden/>
          </w:rPr>
          <w:instrText xml:space="preserve"> PAGEREF _Toc46929410 \h </w:instrText>
        </w:r>
        <w:r w:rsidR="00C931D4">
          <w:rPr>
            <w:noProof/>
            <w:webHidden/>
          </w:rPr>
        </w:r>
        <w:r w:rsidR="00C931D4">
          <w:rPr>
            <w:noProof/>
            <w:webHidden/>
          </w:rPr>
          <w:fldChar w:fldCharType="separate"/>
        </w:r>
        <w:r>
          <w:rPr>
            <w:noProof/>
            <w:webHidden/>
          </w:rPr>
          <w:t>11</w:t>
        </w:r>
        <w:r w:rsidR="00C931D4">
          <w:rPr>
            <w:noProof/>
            <w:webHidden/>
          </w:rPr>
          <w:fldChar w:fldCharType="end"/>
        </w:r>
      </w:hyperlink>
    </w:p>
    <w:p w14:paraId="652BBADC" w14:textId="03902EBC" w:rsidR="00C931D4" w:rsidRDefault="00E202C8">
      <w:pPr>
        <w:pStyle w:val="TOC2"/>
        <w:tabs>
          <w:tab w:val="right" w:leader="dot" w:pos="9060"/>
        </w:tabs>
        <w:rPr>
          <w:rFonts w:eastAsiaTheme="minorEastAsia" w:cstheme="minorBidi"/>
          <w:smallCaps w:val="0"/>
          <w:noProof/>
          <w:sz w:val="22"/>
          <w:szCs w:val="22"/>
          <w:lang w:eastAsia="en-GB" w:bidi="ar-SA"/>
        </w:rPr>
      </w:pPr>
      <w:hyperlink w:anchor="_Toc46929411" w:history="1">
        <w:r w:rsidR="00C931D4" w:rsidRPr="001E588B">
          <w:rPr>
            <w:rStyle w:val="Hyperlink"/>
            <w:noProof/>
          </w:rPr>
          <w:t>4.2 Toxicological Data</w:t>
        </w:r>
        <w:r w:rsidR="00C931D4">
          <w:rPr>
            <w:noProof/>
            <w:webHidden/>
          </w:rPr>
          <w:tab/>
        </w:r>
        <w:r w:rsidR="00C931D4">
          <w:rPr>
            <w:noProof/>
            <w:webHidden/>
          </w:rPr>
          <w:fldChar w:fldCharType="begin"/>
        </w:r>
        <w:r w:rsidR="00C931D4">
          <w:rPr>
            <w:noProof/>
            <w:webHidden/>
          </w:rPr>
          <w:instrText xml:space="preserve"> PAGEREF _Toc46929411 \h </w:instrText>
        </w:r>
        <w:r w:rsidR="00C931D4">
          <w:rPr>
            <w:noProof/>
            <w:webHidden/>
          </w:rPr>
        </w:r>
        <w:r w:rsidR="00C931D4">
          <w:rPr>
            <w:noProof/>
            <w:webHidden/>
          </w:rPr>
          <w:fldChar w:fldCharType="separate"/>
        </w:r>
        <w:r>
          <w:rPr>
            <w:noProof/>
            <w:webHidden/>
          </w:rPr>
          <w:t>11</w:t>
        </w:r>
        <w:r w:rsidR="00C931D4">
          <w:rPr>
            <w:noProof/>
            <w:webHidden/>
          </w:rPr>
          <w:fldChar w:fldCharType="end"/>
        </w:r>
      </w:hyperlink>
    </w:p>
    <w:p w14:paraId="59AC77EA" w14:textId="1AC8F8C9" w:rsidR="00C931D4" w:rsidRDefault="00E202C8">
      <w:pPr>
        <w:pStyle w:val="TOC3"/>
        <w:tabs>
          <w:tab w:val="right" w:leader="dot" w:pos="9060"/>
        </w:tabs>
        <w:rPr>
          <w:rFonts w:eastAsiaTheme="minorEastAsia" w:cstheme="minorBidi"/>
          <w:i w:val="0"/>
          <w:iCs w:val="0"/>
          <w:noProof/>
          <w:sz w:val="22"/>
          <w:szCs w:val="22"/>
          <w:lang w:eastAsia="en-GB" w:bidi="ar-SA"/>
        </w:rPr>
      </w:pPr>
      <w:hyperlink w:anchor="_Toc46929412" w:history="1">
        <w:r w:rsidR="00C931D4" w:rsidRPr="001E588B">
          <w:rPr>
            <w:rStyle w:val="Hyperlink"/>
            <w:noProof/>
          </w:rPr>
          <w:t>4.2.1 Identity and history of safe use</w:t>
        </w:r>
        <w:r w:rsidR="00C931D4">
          <w:rPr>
            <w:noProof/>
            <w:webHidden/>
          </w:rPr>
          <w:tab/>
        </w:r>
        <w:r w:rsidR="00C931D4">
          <w:rPr>
            <w:noProof/>
            <w:webHidden/>
          </w:rPr>
          <w:fldChar w:fldCharType="begin"/>
        </w:r>
        <w:r w:rsidR="00C931D4">
          <w:rPr>
            <w:noProof/>
            <w:webHidden/>
          </w:rPr>
          <w:instrText xml:space="preserve"> PAGEREF _Toc46929412 \h </w:instrText>
        </w:r>
        <w:r w:rsidR="00C931D4">
          <w:rPr>
            <w:noProof/>
            <w:webHidden/>
          </w:rPr>
        </w:r>
        <w:r w:rsidR="00C931D4">
          <w:rPr>
            <w:noProof/>
            <w:webHidden/>
          </w:rPr>
          <w:fldChar w:fldCharType="separate"/>
        </w:r>
        <w:r>
          <w:rPr>
            <w:noProof/>
            <w:webHidden/>
          </w:rPr>
          <w:t>11</w:t>
        </w:r>
        <w:r w:rsidR="00C931D4">
          <w:rPr>
            <w:noProof/>
            <w:webHidden/>
          </w:rPr>
          <w:fldChar w:fldCharType="end"/>
        </w:r>
      </w:hyperlink>
    </w:p>
    <w:p w14:paraId="48813EB9" w14:textId="449FF198" w:rsidR="00C931D4" w:rsidRDefault="00E202C8">
      <w:pPr>
        <w:pStyle w:val="TOC3"/>
        <w:tabs>
          <w:tab w:val="right" w:leader="dot" w:pos="9060"/>
        </w:tabs>
        <w:rPr>
          <w:rFonts w:eastAsiaTheme="minorEastAsia" w:cstheme="minorBidi"/>
          <w:i w:val="0"/>
          <w:iCs w:val="0"/>
          <w:noProof/>
          <w:sz w:val="22"/>
          <w:szCs w:val="22"/>
          <w:lang w:eastAsia="en-GB" w:bidi="ar-SA"/>
        </w:rPr>
      </w:pPr>
      <w:hyperlink w:anchor="_Toc46929413" w:history="1">
        <w:r w:rsidR="00C931D4" w:rsidRPr="001E588B">
          <w:rPr>
            <w:rStyle w:val="Hyperlink"/>
            <w:noProof/>
          </w:rPr>
          <w:t>4.2.2 Toxicokinetics and metabolism</w:t>
        </w:r>
        <w:r w:rsidR="00C931D4">
          <w:rPr>
            <w:noProof/>
            <w:webHidden/>
          </w:rPr>
          <w:tab/>
        </w:r>
        <w:r w:rsidR="00C931D4">
          <w:rPr>
            <w:noProof/>
            <w:webHidden/>
          </w:rPr>
          <w:fldChar w:fldCharType="begin"/>
        </w:r>
        <w:r w:rsidR="00C931D4">
          <w:rPr>
            <w:noProof/>
            <w:webHidden/>
          </w:rPr>
          <w:instrText xml:space="preserve"> PAGEREF _Toc46929413 \h </w:instrText>
        </w:r>
        <w:r w:rsidR="00C931D4">
          <w:rPr>
            <w:noProof/>
            <w:webHidden/>
          </w:rPr>
        </w:r>
        <w:r w:rsidR="00C931D4">
          <w:rPr>
            <w:noProof/>
            <w:webHidden/>
          </w:rPr>
          <w:fldChar w:fldCharType="separate"/>
        </w:r>
        <w:r>
          <w:rPr>
            <w:noProof/>
            <w:webHidden/>
          </w:rPr>
          <w:t>12</w:t>
        </w:r>
        <w:r w:rsidR="00C931D4">
          <w:rPr>
            <w:noProof/>
            <w:webHidden/>
          </w:rPr>
          <w:fldChar w:fldCharType="end"/>
        </w:r>
      </w:hyperlink>
    </w:p>
    <w:p w14:paraId="21501C92" w14:textId="038AC81A" w:rsidR="00C931D4" w:rsidRDefault="00E202C8">
      <w:pPr>
        <w:pStyle w:val="TOC3"/>
        <w:tabs>
          <w:tab w:val="right" w:leader="dot" w:pos="9060"/>
        </w:tabs>
        <w:rPr>
          <w:rFonts w:eastAsiaTheme="minorEastAsia" w:cstheme="minorBidi"/>
          <w:i w:val="0"/>
          <w:iCs w:val="0"/>
          <w:noProof/>
          <w:sz w:val="22"/>
          <w:szCs w:val="22"/>
          <w:lang w:eastAsia="en-GB" w:bidi="ar-SA"/>
        </w:rPr>
      </w:pPr>
      <w:hyperlink w:anchor="_Toc46929414" w:history="1">
        <w:r w:rsidR="00C931D4" w:rsidRPr="001E588B">
          <w:rPr>
            <w:rStyle w:val="Hyperlink"/>
            <w:noProof/>
          </w:rPr>
          <w:t>4.2.3 Acute toxicity studies in animals</w:t>
        </w:r>
        <w:r w:rsidR="00C931D4">
          <w:rPr>
            <w:noProof/>
            <w:webHidden/>
          </w:rPr>
          <w:tab/>
        </w:r>
        <w:r w:rsidR="00C931D4">
          <w:rPr>
            <w:noProof/>
            <w:webHidden/>
          </w:rPr>
          <w:fldChar w:fldCharType="begin"/>
        </w:r>
        <w:r w:rsidR="00C931D4">
          <w:rPr>
            <w:noProof/>
            <w:webHidden/>
          </w:rPr>
          <w:instrText xml:space="preserve"> PAGEREF _Toc46929414 \h </w:instrText>
        </w:r>
        <w:r w:rsidR="00C931D4">
          <w:rPr>
            <w:noProof/>
            <w:webHidden/>
          </w:rPr>
        </w:r>
        <w:r w:rsidR="00C931D4">
          <w:rPr>
            <w:noProof/>
            <w:webHidden/>
          </w:rPr>
          <w:fldChar w:fldCharType="separate"/>
        </w:r>
        <w:r>
          <w:rPr>
            <w:noProof/>
            <w:webHidden/>
          </w:rPr>
          <w:t>13</w:t>
        </w:r>
        <w:r w:rsidR="00C931D4">
          <w:rPr>
            <w:noProof/>
            <w:webHidden/>
          </w:rPr>
          <w:fldChar w:fldCharType="end"/>
        </w:r>
      </w:hyperlink>
    </w:p>
    <w:p w14:paraId="1964CCF5" w14:textId="5E96F630" w:rsidR="00C931D4" w:rsidRDefault="00E202C8">
      <w:pPr>
        <w:pStyle w:val="TOC3"/>
        <w:tabs>
          <w:tab w:val="right" w:leader="dot" w:pos="9060"/>
        </w:tabs>
        <w:rPr>
          <w:rFonts w:eastAsiaTheme="minorEastAsia" w:cstheme="minorBidi"/>
          <w:i w:val="0"/>
          <w:iCs w:val="0"/>
          <w:noProof/>
          <w:sz w:val="22"/>
          <w:szCs w:val="22"/>
          <w:lang w:eastAsia="en-GB" w:bidi="ar-SA"/>
        </w:rPr>
      </w:pPr>
      <w:hyperlink w:anchor="_Toc46929415" w:history="1">
        <w:r w:rsidR="00C931D4" w:rsidRPr="001E588B">
          <w:rPr>
            <w:rStyle w:val="Hyperlink"/>
            <w:noProof/>
          </w:rPr>
          <w:t>4.2.4 Short-term toxicity studies in animals</w:t>
        </w:r>
        <w:r w:rsidR="00C931D4">
          <w:rPr>
            <w:noProof/>
            <w:webHidden/>
          </w:rPr>
          <w:tab/>
        </w:r>
        <w:r w:rsidR="00C931D4">
          <w:rPr>
            <w:noProof/>
            <w:webHidden/>
          </w:rPr>
          <w:fldChar w:fldCharType="begin"/>
        </w:r>
        <w:r w:rsidR="00C931D4">
          <w:rPr>
            <w:noProof/>
            <w:webHidden/>
          </w:rPr>
          <w:instrText xml:space="preserve"> PAGEREF _Toc46929415 \h </w:instrText>
        </w:r>
        <w:r w:rsidR="00C931D4">
          <w:rPr>
            <w:noProof/>
            <w:webHidden/>
          </w:rPr>
        </w:r>
        <w:r w:rsidR="00C931D4">
          <w:rPr>
            <w:noProof/>
            <w:webHidden/>
          </w:rPr>
          <w:fldChar w:fldCharType="separate"/>
        </w:r>
        <w:r>
          <w:rPr>
            <w:noProof/>
            <w:webHidden/>
          </w:rPr>
          <w:t>14</w:t>
        </w:r>
        <w:r w:rsidR="00C931D4">
          <w:rPr>
            <w:noProof/>
            <w:webHidden/>
          </w:rPr>
          <w:fldChar w:fldCharType="end"/>
        </w:r>
      </w:hyperlink>
    </w:p>
    <w:p w14:paraId="4B178428" w14:textId="2D65D79F" w:rsidR="00C931D4" w:rsidRDefault="00E202C8">
      <w:pPr>
        <w:pStyle w:val="TOC3"/>
        <w:tabs>
          <w:tab w:val="right" w:leader="dot" w:pos="9060"/>
        </w:tabs>
        <w:rPr>
          <w:rFonts w:eastAsiaTheme="minorEastAsia" w:cstheme="minorBidi"/>
          <w:i w:val="0"/>
          <w:iCs w:val="0"/>
          <w:noProof/>
          <w:sz w:val="22"/>
          <w:szCs w:val="22"/>
          <w:lang w:eastAsia="en-GB" w:bidi="ar-SA"/>
        </w:rPr>
      </w:pPr>
      <w:hyperlink w:anchor="_Toc46929416" w:history="1">
        <w:r w:rsidR="00C931D4" w:rsidRPr="001E588B">
          <w:rPr>
            <w:rStyle w:val="Hyperlink"/>
            <w:noProof/>
          </w:rPr>
          <w:t>4.2.5 Long-term studies/carcinogenicity in animals</w:t>
        </w:r>
        <w:r w:rsidR="00C931D4">
          <w:rPr>
            <w:noProof/>
            <w:webHidden/>
          </w:rPr>
          <w:tab/>
        </w:r>
        <w:r w:rsidR="00C931D4">
          <w:rPr>
            <w:noProof/>
            <w:webHidden/>
          </w:rPr>
          <w:fldChar w:fldCharType="begin"/>
        </w:r>
        <w:r w:rsidR="00C931D4">
          <w:rPr>
            <w:noProof/>
            <w:webHidden/>
          </w:rPr>
          <w:instrText xml:space="preserve"> PAGEREF _Toc46929416 \h </w:instrText>
        </w:r>
        <w:r w:rsidR="00C931D4">
          <w:rPr>
            <w:noProof/>
            <w:webHidden/>
          </w:rPr>
        </w:r>
        <w:r w:rsidR="00C931D4">
          <w:rPr>
            <w:noProof/>
            <w:webHidden/>
          </w:rPr>
          <w:fldChar w:fldCharType="separate"/>
        </w:r>
        <w:r>
          <w:rPr>
            <w:noProof/>
            <w:webHidden/>
          </w:rPr>
          <w:t>17</w:t>
        </w:r>
        <w:r w:rsidR="00C931D4">
          <w:rPr>
            <w:noProof/>
            <w:webHidden/>
          </w:rPr>
          <w:fldChar w:fldCharType="end"/>
        </w:r>
      </w:hyperlink>
    </w:p>
    <w:p w14:paraId="6035D25D" w14:textId="24ADA673" w:rsidR="00C931D4" w:rsidRDefault="00E202C8">
      <w:pPr>
        <w:pStyle w:val="TOC3"/>
        <w:tabs>
          <w:tab w:val="right" w:leader="dot" w:pos="9060"/>
        </w:tabs>
        <w:rPr>
          <w:rFonts w:eastAsiaTheme="minorEastAsia" w:cstheme="minorBidi"/>
          <w:i w:val="0"/>
          <w:iCs w:val="0"/>
          <w:noProof/>
          <w:sz w:val="22"/>
          <w:szCs w:val="22"/>
          <w:lang w:eastAsia="en-GB" w:bidi="ar-SA"/>
        </w:rPr>
      </w:pPr>
      <w:hyperlink w:anchor="_Toc46929417" w:history="1">
        <w:r w:rsidR="00C931D4" w:rsidRPr="001E588B">
          <w:rPr>
            <w:rStyle w:val="Hyperlink"/>
            <w:noProof/>
          </w:rPr>
          <w:t>4.2.6 Genotoxicity assays</w:t>
        </w:r>
        <w:r w:rsidR="00C931D4">
          <w:rPr>
            <w:noProof/>
            <w:webHidden/>
          </w:rPr>
          <w:tab/>
        </w:r>
        <w:r w:rsidR="00C931D4">
          <w:rPr>
            <w:noProof/>
            <w:webHidden/>
          </w:rPr>
          <w:fldChar w:fldCharType="begin"/>
        </w:r>
        <w:r w:rsidR="00C931D4">
          <w:rPr>
            <w:noProof/>
            <w:webHidden/>
          </w:rPr>
          <w:instrText xml:space="preserve"> PAGEREF _Toc46929417 \h </w:instrText>
        </w:r>
        <w:r w:rsidR="00C931D4">
          <w:rPr>
            <w:noProof/>
            <w:webHidden/>
          </w:rPr>
        </w:r>
        <w:r w:rsidR="00C931D4">
          <w:rPr>
            <w:noProof/>
            <w:webHidden/>
          </w:rPr>
          <w:fldChar w:fldCharType="separate"/>
        </w:r>
        <w:r>
          <w:rPr>
            <w:noProof/>
            <w:webHidden/>
          </w:rPr>
          <w:t>17</w:t>
        </w:r>
        <w:r w:rsidR="00C931D4">
          <w:rPr>
            <w:noProof/>
            <w:webHidden/>
          </w:rPr>
          <w:fldChar w:fldCharType="end"/>
        </w:r>
      </w:hyperlink>
    </w:p>
    <w:p w14:paraId="0BD41FD7" w14:textId="43DC4FAD" w:rsidR="00C931D4" w:rsidRDefault="00E202C8">
      <w:pPr>
        <w:pStyle w:val="TOC3"/>
        <w:tabs>
          <w:tab w:val="right" w:leader="dot" w:pos="9060"/>
        </w:tabs>
        <w:rPr>
          <w:rFonts w:eastAsiaTheme="minorEastAsia" w:cstheme="minorBidi"/>
          <w:i w:val="0"/>
          <w:iCs w:val="0"/>
          <w:noProof/>
          <w:sz w:val="22"/>
          <w:szCs w:val="22"/>
          <w:lang w:eastAsia="en-GB" w:bidi="ar-SA"/>
        </w:rPr>
      </w:pPr>
      <w:hyperlink w:anchor="_Toc46929418" w:history="1">
        <w:r w:rsidR="00C931D4" w:rsidRPr="001E588B">
          <w:rPr>
            <w:rStyle w:val="Hyperlink"/>
            <w:noProof/>
          </w:rPr>
          <w:t>4.2.7 Developmental and reproductive toxicity studies in animals</w:t>
        </w:r>
        <w:r w:rsidR="00C931D4">
          <w:rPr>
            <w:noProof/>
            <w:webHidden/>
          </w:rPr>
          <w:tab/>
        </w:r>
        <w:r w:rsidR="00C931D4">
          <w:rPr>
            <w:noProof/>
            <w:webHidden/>
          </w:rPr>
          <w:fldChar w:fldCharType="begin"/>
        </w:r>
        <w:r w:rsidR="00C931D4">
          <w:rPr>
            <w:noProof/>
            <w:webHidden/>
          </w:rPr>
          <w:instrText xml:space="preserve"> PAGEREF _Toc46929418 \h </w:instrText>
        </w:r>
        <w:r w:rsidR="00C931D4">
          <w:rPr>
            <w:noProof/>
            <w:webHidden/>
          </w:rPr>
        </w:r>
        <w:r w:rsidR="00C931D4">
          <w:rPr>
            <w:noProof/>
            <w:webHidden/>
          </w:rPr>
          <w:fldChar w:fldCharType="separate"/>
        </w:r>
        <w:r>
          <w:rPr>
            <w:noProof/>
            <w:webHidden/>
          </w:rPr>
          <w:t>19</w:t>
        </w:r>
        <w:r w:rsidR="00C931D4">
          <w:rPr>
            <w:noProof/>
            <w:webHidden/>
          </w:rPr>
          <w:fldChar w:fldCharType="end"/>
        </w:r>
      </w:hyperlink>
    </w:p>
    <w:p w14:paraId="63D63DB7" w14:textId="1A69958A" w:rsidR="00C931D4" w:rsidRDefault="00E202C8">
      <w:pPr>
        <w:pStyle w:val="TOC3"/>
        <w:tabs>
          <w:tab w:val="right" w:leader="dot" w:pos="9060"/>
        </w:tabs>
        <w:rPr>
          <w:rFonts w:eastAsiaTheme="minorEastAsia" w:cstheme="minorBidi"/>
          <w:i w:val="0"/>
          <w:iCs w:val="0"/>
          <w:noProof/>
          <w:sz w:val="22"/>
          <w:szCs w:val="22"/>
          <w:lang w:eastAsia="en-GB" w:bidi="ar-SA"/>
        </w:rPr>
      </w:pPr>
      <w:hyperlink w:anchor="_Toc46929419" w:history="1">
        <w:r w:rsidR="00C931D4" w:rsidRPr="001E588B">
          <w:rPr>
            <w:rStyle w:val="Hyperlink"/>
            <w:noProof/>
          </w:rPr>
          <w:t>4.2.8 Special studies</w:t>
        </w:r>
        <w:r w:rsidR="00C931D4">
          <w:rPr>
            <w:noProof/>
            <w:webHidden/>
          </w:rPr>
          <w:tab/>
        </w:r>
        <w:r w:rsidR="00C931D4">
          <w:rPr>
            <w:noProof/>
            <w:webHidden/>
          </w:rPr>
          <w:fldChar w:fldCharType="begin"/>
        </w:r>
        <w:r w:rsidR="00C931D4">
          <w:rPr>
            <w:noProof/>
            <w:webHidden/>
          </w:rPr>
          <w:instrText xml:space="preserve"> PAGEREF _Toc46929419 \h </w:instrText>
        </w:r>
        <w:r w:rsidR="00C931D4">
          <w:rPr>
            <w:noProof/>
            <w:webHidden/>
          </w:rPr>
        </w:r>
        <w:r w:rsidR="00C931D4">
          <w:rPr>
            <w:noProof/>
            <w:webHidden/>
          </w:rPr>
          <w:fldChar w:fldCharType="separate"/>
        </w:r>
        <w:r>
          <w:rPr>
            <w:noProof/>
            <w:webHidden/>
          </w:rPr>
          <w:t>22</w:t>
        </w:r>
        <w:r w:rsidR="00C931D4">
          <w:rPr>
            <w:noProof/>
            <w:webHidden/>
          </w:rPr>
          <w:fldChar w:fldCharType="end"/>
        </w:r>
      </w:hyperlink>
    </w:p>
    <w:p w14:paraId="2D0A81AE" w14:textId="4A3D368B" w:rsidR="00C931D4" w:rsidRDefault="00E202C8">
      <w:pPr>
        <w:pStyle w:val="TOC3"/>
        <w:tabs>
          <w:tab w:val="right" w:leader="dot" w:pos="9060"/>
        </w:tabs>
        <w:rPr>
          <w:rFonts w:eastAsiaTheme="minorEastAsia" w:cstheme="minorBidi"/>
          <w:i w:val="0"/>
          <w:iCs w:val="0"/>
          <w:noProof/>
          <w:sz w:val="22"/>
          <w:szCs w:val="22"/>
          <w:lang w:eastAsia="en-GB" w:bidi="ar-SA"/>
        </w:rPr>
      </w:pPr>
      <w:hyperlink w:anchor="_Toc46929420" w:history="1">
        <w:r w:rsidR="00C931D4" w:rsidRPr="001E588B">
          <w:rPr>
            <w:rStyle w:val="Hyperlink"/>
            <w:noProof/>
          </w:rPr>
          <w:t>4.2.9 Human tolerance studies</w:t>
        </w:r>
        <w:r w:rsidR="00C931D4">
          <w:rPr>
            <w:noProof/>
            <w:webHidden/>
          </w:rPr>
          <w:tab/>
        </w:r>
        <w:r w:rsidR="00C931D4">
          <w:rPr>
            <w:noProof/>
            <w:webHidden/>
          </w:rPr>
          <w:fldChar w:fldCharType="begin"/>
        </w:r>
        <w:r w:rsidR="00C931D4">
          <w:rPr>
            <w:noProof/>
            <w:webHidden/>
          </w:rPr>
          <w:instrText xml:space="preserve"> PAGEREF _Toc46929420 \h </w:instrText>
        </w:r>
        <w:r w:rsidR="00C931D4">
          <w:rPr>
            <w:noProof/>
            <w:webHidden/>
          </w:rPr>
        </w:r>
        <w:r w:rsidR="00C931D4">
          <w:rPr>
            <w:noProof/>
            <w:webHidden/>
          </w:rPr>
          <w:fldChar w:fldCharType="separate"/>
        </w:r>
        <w:r>
          <w:rPr>
            <w:noProof/>
            <w:webHidden/>
          </w:rPr>
          <w:t>22</w:t>
        </w:r>
        <w:r w:rsidR="00C931D4">
          <w:rPr>
            <w:noProof/>
            <w:webHidden/>
          </w:rPr>
          <w:fldChar w:fldCharType="end"/>
        </w:r>
      </w:hyperlink>
    </w:p>
    <w:p w14:paraId="071DAEC8" w14:textId="3CD1FD00" w:rsidR="00C931D4" w:rsidRDefault="00E202C8">
      <w:pPr>
        <w:pStyle w:val="TOC3"/>
        <w:tabs>
          <w:tab w:val="right" w:leader="dot" w:pos="9060"/>
        </w:tabs>
        <w:rPr>
          <w:rFonts w:eastAsiaTheme="minorEastAsia" w:cstheme="minorBidi"/>
          <w:i w:val="0"/>
          <w:iCs w:val="0"/>
          <w:noProof/>
          <w:sz w:val="22"/>
          <w:szCs w:val="22"/>
          <w:lang w:eastAsia="en-GB" w:bidi="ar-SA"/>
        </w:rPr>
      </w:pPr>
      <w:hyperlink w:anchor="_Toc46929421" w:history="1">
        <w:r w:rsidR="00C931D4" w:rsidRPr="001E588B">
          <w:rPr>
            <w:rStyle w:val="Hyperlink"/>
            <w:noProof/>
          </w:rPr>
          <w:t>4.2.10 Human allergenic potential</w:t>
        </w:r>
        <w:r w:rsidR="00C931D4">
          <w:rPr>
            <w:noProof/>
            <w:webHidden/>
          </w:rPr>
          <w:tab/>
        </w:r>
        <w:r w:rsidR="00C931D4">
          <w:rPr>
            <w:noProof/>
            <w:webHidden/>
          </w:rPr>
          <w:fldChar w:fldCharType="begin"/>
        </w:r>
        <w:r w:rsidR="00C931D4">
          <w:rPr>
            <w:noProof/>
            <w:webHidden/>
          </w:rPr>
          <w:instrText xml:space="preserve"> PAGEREF _Toc46929421 \h </w:instrText>
        </w:r>
        <w:r w:rsidR="00C931D4">
          <w:rPr>
            <w:noProof/>
            <w:webHidden/>
          </w:rPr>
        </w:r>
        <w:r w:rsidR="00C931D4">
          <w:rPr>
            <w:noProof/>
            <w:webHidden/>
          </w:rPr>
          <w:fldChar w:fldCharType="separate"/>
        </w:r>
        <w:r>
          <w:rPr>
            <w:noProof/>
            <w:webHidden/>
          </w:rPr>
          <w:t>22</w:t>
        </w:r>
        <w:r w:rsidR="00C931D4">
          <w:rPr>
            <w:noProof/>
            <w:webHidden/>
          </w:rPr>
          <w:fldChar w:fldCharType="end"/>
        </w:r>
      </w:hyperlink>
    </w:p>
    <w:p w14:paraId="18C6D579" w14:textId="5F862881" w:rsidR="00C931D4" w:rsidRDefault="00E202C8">
      <w:pPr>
        <w:pStyle w:val="TOC2"/>
        <w:tabs>
          <w:tab w:val="right" w:leader="dot" w:pos="9060"/>
        </w:tabs>
        <w:rPr>
          <w:rFonts w:eastAsiaTheme="minorEastAsia" w:cstheme="minorBidi"/>
          <w:smallCaps w:val="0"/>
          <w:noProof/>
          <w:sz w:val="22"/>
          <w:szCs w:val="22"/>
          <w:lang w:eastAsia="en-GB" w:bidi="ar-SA"/>
        </w:rPr>
      </w:pPr>
      <w:hyperlink w:anchor="_Toc46929422" w:history="1">
        <w:r w:rsidR="00C931D4" w:rsidRPr="001E588B">
          <w:rPr>
            <w:rStyle w:val="Hyperlink"/>
            <w:noProof/>
          </w:rPr>
          <w:t>4.3 Assessments by other regulatory agencies</w:t>
        </w:r>
        <w:r w:rsidR="00C931D4">
          <w:rPr>
            <w:noProof/>
            <w:webHidden/>
          </w:rPr>
          <w:tab/>
        </w:r>
        <w:r w:rsidR="00C931D4">
          <w:rPr>
            <w:noProof/>
            <w:webHidden/>
          </w:rPr>
          <w:fldChar w:fldCharType="begin"/>
        </w:r>
        <w:r w:rsidR="00C931D4">
          <w:rPr>
            <w:noProof/>
            <w:webHidden/>
          </w:rPr>
          <w:instrText xml:space="preserve"> PAGEREF _Toc46929422 \h </w:instrText>
        </w:r>
        <w:r w:rsidR="00C931D4">
          <w:rPr>
            <w:noProof/>
            <w:webHidden/>
          </w:rPr>
        </w:r>
        <w:r w:rsidR="00C931D4">
          <w:rPr>
            <w:noProof/>
            <w:webHidden/>
          </w:rPr>
          <w:fldChar w:fldCharType="separate"/>
        </w:r>
        <w:r>
          <w:rPr>
            <w:noProof/>
            <w:webHidden/>
          </w:rPr>
          <w:t>22</w:t>
        </w:r>
        <w:r w:rsidR="00C931D4">
          <w:rPr>
            <w:noProof/>
            <w:webHidden/>
          </w:rPr>
          <w:fldChar w:fldCharType="end"/>
        </w:r>
      </w:hyperlink>
    </w:p>
    <w:p w14:paraId="1EF839E2" w14:textId="23640837" w:rsidR="00C931D4" w:rsidRDefault="00E202C8">
      <w:pPr>
        <w:pStyle w:val="TOC2"/>
        <w:tabs>
          <w:tab w:val="right" w:leader="dot" w:pos="9060"/>
        </w:tabs>
        <w:rPr>
          <w:rFonts w:eastAsiaTheme="minorEastAsia" w:cstheme="minorBidi"/>
          <w:smallCaps w:val="0"/>
          <w:noProof/>
          <w:sz w:val="22"/>
          <w:szCs w:val="22"/>
          <w:lang w:eastAsia="en-GB" w:bidi="ar-SA"/>
        </w:rPr>
      </w:pPr>
      <w:hyperlink w:anchor="_Toc46929423" w:history="1">
        <w:r w:rsidR="00C931D4" w:rsidRPr="001E588B">
          <w:rPr>
            <w:rStyle w:val="Hyperlink"/>
            <w:noProof/>
          </w:rPr>
          <w:t>4.4 Discussion and conclusion</w:t>
        </w:r>
        <w:r w:rsidR="00C931D4">
          <w:rPr>
            <w:noProof/>
            <w:webHidden/>
          </w:rPr>
          <w:tab/>
        </w:r>
        <w:r w:rsidR="00C931D4">
          <w:rPr>
            <w:noProof/>
            <w:webHidden/>
          </w:rPr>
          <w:fldChar w:fldCharType="begin"/>
        </w:r>
        <w:r w:rsidR="00C931D4">
          <w:rPr>
            <w:noProof/>
            <w:webHidden/>
          </w:rPr>
          <w:instrText xml:space="preserve"> PAGEREF _Toc46929423 \h </w:instrText>
        </w:r>
        <w:r w:rsidR="00C931D4">
          <w:rPr>
            <w:noProof/>
            <w:webHidden/>
          </w:rPr>
        </w:r>
        <w:r w:rsidR="00C931D4">
          <w:rPr>
            <w:noProof/>
            <w:webHidden/>
          </w:rPr>
          <w:fldChar w:fldCharType="separate"/>
        </w:r>
        <w:r>
          <w:rPr>
            <w:noProof/>
            <w:webHidden/>
          </w:rPr>
          <w:t>23</w:t>
        </w:r>
        <w:r w:rsidR="00C931D4">
          <w:rPr>
            <w:noProof/>
            <w:webHidden/>
          </w:rPr>
          <w:fldChar w:fldCharType="end"/>
        </w:r>
      </w:hyperlink>
    </w:p>
    <w:p w14:paraId="33D14C0C" w14:textId="2CFD009F" w:rsidR="00C931D4" w:rsidRDefault="00E202C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929424" w:history="1">
        <w:r w:rsidR="00C931D4" w:rsidRPr="001E588B">
          <w:rPr>
            <w:rStyle w:val="Hyperlink"/>
            <w:noProof/>
          </w:rPr>
          <w:t>5</w:t>
        </w:r>
        <w:r w:rsidR="00C931D4">
          <w:rPr>
            <w:rFonts w:eastAsiaTheme="minorEastAsia" w:cstheme="minorBidi"/>
            <w:b w:val="0"/>
            <w:bCs w:val="0"/>
            <w:caps w:val="0"/>
            <w:noProof/>
            <w:sz w:val="22"/>
            <w:szCs w:val="22"/>
            <w:lang w:eastAsia="en-GB" w:bidi="ar-SA"/>
          </w:rPr>
          <w:tab/>
        </w:r>
        <w:r w:rsidR="00C931D4" w:rsidRPr="001E588B">
          <w:rPr>
            <w:rStyle w:val="Hyperlink"/>
            <w:noProof/>
          </w:rPr>
          <w:t>Dietary Exposure assessment</w:t>
        </w:r>
        <w:r w:rsidR="00C931D4">
          <w:rPr>
            <w:noProof/>
            <w:webHidden/>
          </w:rPr>
          <w:tab/>
        </w:r>
        <w:r w:rsidR="00C931D4">
          <w:rPr>
            <w:noProof/>
            <w:webHidden/>
          </w:rPr>
          <w:fldChar w:fldCharType="begin"/>
        </w:r>
        <w:r w:rsidR="00C931D4">
          <w:rPr>
            <w:noProof/>
            <w:webHidden/>
          </w:rPr>
          <w:instrText xml:space="preserve"> PAGEREF _Toc46929424 \h </w:instrText>
        </w:r>
        <w:r w:rsidR="00C931D4">
          <w:rPr>
            <w:noProof/>
            <w:webHidden/>
          </w:rPr>
        </w:r>
        <w:r w:rsidR="00C931D4">
          <w:rPr>
            <w:noProof/>
            <w:webHidden/>
          </w:rPr>
          <w:fldChar w:fldCharType="separate"/>
        </w:r>
        <w:r>
          <w:rPr>
            <w:noProof/>
            <w:webHidden/>
          </w:rPr>
          <w:t>24</w:t>
        </w:r>
        <w:r w:rsidR="00C931D4">
          <w:rPr>
            <w:noProof/>
            <w:webHidden/>
          </w:rPr>
          <w:fldChar w:fldCharType="end"/>
        </w:r>
      </w:hyperlink>
    </w:p>
    <w:p w14:paraId="7F5F43FE" w14:textId="00DBABE3" w:rsidR="00C931D4" w:rsidRDefault="00E202C8">
      <w:pPr>
        <w:pStyle w:val="TOC2"/>
        <w:tabs>
          <w:tab w:val="right" w:leader="dot" w:pos="9060"/>
        </w:tabs>
        <w:rPr>
          <w:rFonts w:eastAsiaTheme="minorEastAsia" w:cstheme="minorBidi"/>
          <w:smallCaps w:val="0"/>
          <w:noProof/>
          <w:sz w:val="22"/>
          <w:szCs w:val="22"/>
          <w:lang w:eastAsia="en-GB" w:bidi="ar-SA"/>
        </w:rPr>
      </w:pPr>
      <w:hyperlink w:anchor="_Toc46929425" w:history="1">
        <w:r w:rsidR="00C931D4" w:rsidRPr="001E588B">
          <w:rPr>
            <w:rStyle w:val="Hyperlink"/>
            <w:noProof/>
          </w:rPr>
          <w:t>5.1 Jelly mushroom glycolipids in other foods</w:t>
        </w:r>
        <w:r w:rsidR="00C931D4">
          <w:rPr>
            <w:noProof/>
            <w:webHidden/>
          </w:rPr>
          <w:tab/>
        </w:r>
        <w:r w:rsidR="00C931D4">
          <w:rPr>
            <w:noProof/>
            <w:webHidden/>
          </w:rPr>
          <w:fldChar w:fldCharType="begin"/>
        </w:r>
        <w:r w:rsidR="00C931D4">
          <w:rPr>
            <w:noProof/>
            <w:webHidden/>
          </w:rPr>
          <w:instrText xml:space="preserve"> PAGEREF _Toc46929425 \h </w:instrText>
        </w:r>
        <w:r w:rsidR="00C931D4">
          <w:rPr>
            <w:noProof/>
            <w:webHidden/>
          </w:rPr>
        </w:r>
        <w:r w:rsidR="00C931D4">
          <w:rPr>
            <w:noProof/>
            <w:webHidden/>
          </w:rPr>
          <w:fldChar w:fldCharType="separate"/>
        </w:r>
        <w:r>
          <w:rPr>
            <w:noProof/>
            <w:webHidden/>
          </w:rPr>
          <w:t>24</w:t>
        </w:r>
        <w:r w:rsidR="00C931D4">
          <w:rPr>
            <w:noProof/>
            <w:webHidden/>
          </w:rPr>
          <w:fldChar w:fldCharType="end"/>
        </w:r>
      </w:hyperlink>
    </w:p>
    <w:p w14:paraId="04C06D19" w14:textId="56AA5423" w:rsidR="00C931D4" w:rsidRDefault="00E202C8">
      <w:pPr>
        <w:pStyle w:val="TOC2"/>
        <w:tabs>
          <w:tab w:val="right" w:leader="dot" w:pos="9060"/>
        </w:tabs>
        <w:rPr>
          <w:rFonts w:eastAsiaTheme="minorEastAsia" w:cstheme="minorBidi"/>
          <w:smallCaps w:val="0"/>
          <w:noProof/>
          <w:sz w:val="22"/>
          <w:szCs w:val="22"/>
          <w:lang w:eastAsia="en-GB" w:bidi="ar-SA"/>
        </w:rPr>
      </w:pPr>
      <w:hyperlink w:anchor="_Toc46929426" w:history="1">
        <w:r w:rsidR="00C931D4" w:rsidRPr="001E588B">
          <w:rPr>
            <w:rStyle w:val="Hyperlink"/>
            <w:noProof/>
          </w:rPr>
          <w:t>5.2 Proposed concentrations of jelly mushroom glycolipids as a food additive in foods</w:t>
        </w:r>
        <w:r w:rsidR="00C931D4">
          <w:rPr>
            <w:noProof/>
            <w:webHidden/>
          </w:rPr>
          <w:tab/>
        </w:r>
        <w:r w:rsidR="00C931D4">
          <w:rPr>
            <w:noProof/>
            <w:webHidden/>
          </w:rPr>
          <w:fldChar w:fldCharType="begin"/>
        </w:r>
        <w:r w:rsidR="00C931D4">
          <w:rPr>
            <w:noProof/>
            <w:webHidden/>
          </w:rPr>
          <w:instrText xml:space="preserve"> PAGEREF _Toc46929426 \h </w:instrText>
        </w:r>
        <w:r w:rsidR="00C931D4">
          <w:rPr>
            <w:noProof/>
            <w:webHidden/>
          </w:rPr>
        </w:r>
        <w:r w:rsidR="00C931D4">
          <w:rPr>
            <w:noProof/>
            <w:webHidden/>
          </w:rPr>
          <w:fldChar w:fldCharType="separate"/>
        </w:r>
        <w:r>
          <w:rPr>
            <w:noProof/>
            <w:webHidden/>
          </w:rPr>
          <w:t>26</w:t>
        </w:r>
        <w:r w:rsidR="00C931D4">
          <w:rPr>
            <w:noProof/>
            <w:webHidden/>
          </w:rPr>
          <w:fldChar w:fldCharType="end"/>
        </w:r>
      </w:hyperlink>
    </w:p>
    <w:p w14:paraId="65261B71" w14:textId="1B25AD38" w:rsidR="00C931D4" w:rsidRDefault="00E202C8">
      <w:pPr>
        <w:pStyle w:val="TOC2"/>
        <w:tabs>
          <w:tab w:val="right" w:leader="dot" w:pos="9060"/>
        </w:tabs>
        <w:rPr>
          <w:rFonts w:eastAsiaTheme="minorEastAsia" w:cstheme="minorBidi"/>
          <w:smallCaps w:val="0"/>
          <w:noProof/>
          <w:sz w:val="22"/>
          <w:szCs w:val="22"/>
          <w:lang w:eastAsia="en-GB" w:bidi="ar-SA"/>
        </w:rPr>
      </w:pPr>
      <w:hyperlink w:anchor="_Toc46929427" w:history="1">
        <w:r w:rsidR="00C931D4" w:rsidRPr="001E588B">
          <w:rPr>
            <w:rStyle w:val="Hyperlink"/>
            <w:noProof/>
          </w:rPr>
          <w:t>5.3 Food consumption data used</w:t>
        </w:r>
        <w:r w:rsidR="00C931D4">
          <w:rPr>
            <w:noProof/>
            <w:webHidden/>
          </w:rPr>
          <w:tab/>
        </w:r>
        <w:r w:rsidR="00C931D4">
          <w:rPr>
            <w:noProof/>
            <w:webHidden/>
          </w:rPr>
          <w:fldChar w:fldCharType="begin"/>
        </w:r>
        <w:r w:rsidR="00C931D4">
          <w:rPr>
            <w:noProof/>
            <w:webHidden/>
          </w:rPr>
          <w:instrText xml:space="preserve"> PAGEREF _Toc46929427 \h </w:instrText>
        </w:r>
        <w:r w:rsidR="00C931D4">
          <w:rPr>
            <w:noProof/>
            <w:webHidden/>
          </w:rPr>
        </w:r>
        <w:r w:rsidR="00C931D4">
          <w:rPr>
            <w:noProof/>
            <w:webHidden/>
          </w:rPr>
          <w:fldChar w:fldCharType="separate"/>
        </w:r>
        <w:r>
          <w:rPr>
            <w:noProof/>
            <w:webHidden/>
          </w:rPr>
          <w:t>27</w:t>
        </w:r>
        <w:r w:rsidR="00C931D4">
          <w:rPr>
            <w:noProof/>
            <w:webHidden/>
          </w:rPr>
          <w:fldChar w:fldCharType="end"/>
        </w:r>
      </w:hyperlink>
    </w:p>
    <w:p w14:paraId="01F7A335" w14:textId="47C137A2" w:rsidR="00C931D4" w:rsidRDefault="00E202C8">
      <w:pPr>
        <w:pStyle w:val="TOC2"/>
        <w:tabs>
          <w:tab w:val="right" w:leader="dot" w:pos="9060"/>
        </w:tabs>
        <w:rPr>
          <w:rFonts w:eastAsiaTheme="minorEastAsia" w:cstheme="minorBidi"/>
          <w:smallCaps w:val="0"/>
          <w:noProof/>
          <w:sz w:val="22"/>
          <w:szCs w:val="22"/>
          <w:lang w:eastAsia="en-GB" w:bidi="ar-SA"/>
        </w:rPr>
      </w:pPr>
      <w:hyperlink w:anchor="_Toc46929428" w:history="1">
        <w:r w:rsidR="00C931D4" w:rsidRPr="001E588B">
          <w:rPr>
            <w:rStyle w:val="Hyperlink"/>
            <w:noProof/>
          </w:rPr>
          <w:t>5.4 Population groups assessed</w:t>
        </w:r>
        <w:r w:rsidR="00C931D4">
          <w:rPr>
            <w:noProof/>
            <w:webHidden/>
          </w:rPr>
          <w:tab/>
        </w:r>
        <w:r w:rsidR="00C931D4">
          <w:rPr>
            <w:noProof/>
            <w:webHidden/>
          </w:rPr>
          <w:fldChar w:fldCharType="begin"/>
        </w:r>
        <w:r w:rsidR="00C931D4">
          <w:rPr>
            <w:noProof/>
            <w:webHidden/>
          </w:rPr>
          <w:instrText xml:space="preserve"> PAGEREF _Toc46929428 \h </w:instrText>
        </w:r>
        <w:r w:rsidR="00C931D4">
          <w:rPr>
            <w:noProof/>
            <w:webHidden/>
          </w:rPr>
        </w:r>
        <w:r w:rsidR="00C931D4">
          <w:rPr>
            <w:noProof/>
            <w:webHidden/>
          </w:rPr>
          <w:fldChar w:fldCharType="separate"/>
        </w:r>
        <w:r>
          <w:rPr>
            <w:noProof/>
            <w:webHidden/>
          </w:rPr>
          <w:t>31</w:t>
        </w:r>
        <w:r w:rsidR="00C931D4">
          <w:rPr>
            <w:noProof/>
            <w:webHidden/>
          </w:rPr>
          <w:fldChar w:fldCharType="end"/>
        </w:r>
      </w:hyperlink>
    </w:p>
    <w:p w14:paraId="143CE3FA" w14:textId="0003A35B" w:rsidR="00C931D4" w:rsidRDefault="00E202C8">
      <w:pPr>
        <w:pStyle w:val="TOC2"/>
        <w:tabs>
          <w:tab w:val="right" w:leader="dot" w:pos="9060"/>
        </w:tabs>
        <w:rPr>
          <w:rFonts w:eastAsiaTheme="minorEastAsia" w:cstheme="minorBidi"/>
          <w:smallCaps w:val="0"/>
          <w:noProof/>
          <w:sz w:val="22"/>
          <w:szCs w:val="22"/>
          <w:lang w:eastAsia="en-GB" w:bidi="ar-SA"/>
        </w:rPr>
      </w:pPr>
      <w:hyperlink w:anchor="_Toc46929429" w:history="1">
        <w:r w:rsidR="00C931D4" w:rsidRPr="001E588B">
          <w:rPr>
            <w:rStyle w:val="Hyperlink"/>
            <w:noProof/>
          </w:rPr>
          <w:t>5.5 Estimated dietary exposures to jelly mushroom glycolipids</w:t>
        </w:r>
        <w:r w:rsidR="00C931D4">
          <w:rPr>
            <w:noProof/>
            <w:webHidden/>
          </w:rPr>
          <w:tab/>
        </w:r>
        <w:r w:rsidR="00C931D4">
          <w:rPr>
            <w:noProof/>
            <w:webHidden/>
          </w:rPr>
          <w:fldChar w:fldCharType="begin"/>
        </w:r>
        <w:r w:rsidR="00C931D4">
          <w:rPr>
            <w:noProof/>
            <w:webHidden/>
          </w:rPr>
          <w:instrText xml:space="preserve"> PAGEREF _Toc46929429 \h </w:instrText>
        </w:r>
        <w:r w:rsidR="00C931D4">
          <w:rPr>
            <w:noProof/>
            <w:webHidden/>
          </w:rPr>
        </w:r>
        <w:r w:rsidR="00C931D4">
          <w:rPr>
            <w:noProof/>
            <w:webHidden/>
          </w:rPr>
          <w:fldChar w:fldCharType="separate"/>
        </w:r>
        <w:r>
          <w:rPr>
            <w:noProof/>
            <w:webHidden/>
          </w:rPr>
          <w:t>31</w:t>
        </w:r>
        <w:r w:rsidR="00C931D4">
          <w:rPr>
            <w:noProof/>
            <w:webHidden/>
          </w:rPr>
          <w:fldChar w:fldCharType="end"/>
        </w:r>
      </w:hyperlink>
    </w:p>
    <w:p w14:paraId="7F029861" w14:textId="2B8BD3BD" w:rsidR="00C931D4" w:rsidRDefault="00E202C8">
      <w:pPr>
        <w:pStyle w:val="TOC2"/>
        <w:tabs>
          <w:tab w:val="right" w:leader="dot" w:pos="9060"/>
        </w:tabs>
        <w:rPr>
          <w:rFonts w:eastAsiaTheme="minorEastAsia" w:cstheme="minorBidi"/>
          <w:smallCaps w:val="0"/>
          <w:noProof/>
          <w:sz w:val="22"/>
          <w:szCs w:val="22"/>
          <w:lang w:eastAsia="en-GB" w:bidi="ar-SA"/>
        </w:rPr>
      </w:pPr>
      <w:hyperlink w:anchor="_Toc46929430" w:history="1">
        <w:r w:rsidR="00C931D4" w:rsidRPr="001E588B">
          <w:rPr>
            <w:rStyle w:val="Hyperlink"/>
            <w:noProof/>
          </w:rPr>
          <w:t>5.6 Major contributing foods to jelly mushroom glycolipids dietary exposure</w:t>
        </w:r>
        <w:r w:rsidR="00C931D4">
          <w:rPr>
            <w:noProof/>
            <w:webHidden/>
          </w:rPr>
          <w:tab/>
        </w:r>
        <w:r w:rsidR="00C931D4">
          <w:rPr>
            <w:noProof/>
            <w:webHidden/>
          </w:rPr>
          <w:fldChar w:fldCharType="begin"/>
        </w:r>
        <w:r w:rsidR="00C931D4">
          <w:rPr>
            <w:noProof/>
            <w:webHidden/>
          </w:rPr>
          <w:instrText xml:space="preserve"> PAGEREF _Toc46929430 \h </w:instrText>
        </w:r>
        <w:r w:rsidR="00C931D4">
          <w:rPr>
            <w:noProof/>
            <w:webHidden/>
          </w:rPr>
        </w:r>
        <w:r w:rsidR="00C931D4">
          <w:rPr>
            <w:noProof/>
            <w:webHidden/>
          </w:rPr>
          <w:fldChar w:fldCharType="separate"/>
        </w:r>
        <w:r>
          <w:rPr>
            <w:noProof/>
            <w:webHidden/>
          </w:rPr>
          <w:t>34</w:t>
        </w:r>
        <w:r w:rsidR="00C931D4">
          <w:rPr>
            <w:noProof/>
            <w:webHidden/>
          </w:rPr>
          <w:fldChar w:fldCharType="end"/>
        </w:r>
      </w:hyperlink>
    </w:p>
    <w:p w14:paraId="219CB8AD" w14:textId="6ADB3D63" w:rsidR="00C931D4" w:rsidRDefault="00E202C8">
      <w:pPr>
        <w:pStyle w:val="TOC2"/>
        <w:tabs>
          <w:tab w:val="right" w:leader="dot" w:pos="9060"/>
        </w:tabs>
        <w:rPr>
          <w:rFonts w:eastAsiaTheme="minorEastAsia" w:cstheme="minorBidi"/>
          <w:smallCaps w:val="0"/>
          <w:noProof/>
          <w:sz w:val="22"/>
          <w:szCs w:val="22"/>
          <w:lang w:eastAsia="en-GB" w:bidi="ar-SA"/>
        </w:rPr>
      </w:pPr>
      <w:hyperlink w:anchor="_Toc46929431" w:history="1">
        <w:r w:rsidR="00C931D4" w:rsidRPr="001E588B">
          <w:rPr>
            <w:rStyle w:val="Hyperlink"/>
            <w:noProof/>
          </w:rPr>
          <w:t>5.7 Risk Characterisation</w:t>
        </w:r>
        <w:r w:rsidR="00C931D4">
          <w:rPr>
            <w:noProof/>
            <w:webHidden/>
          </w:rPr>
          <w:tab/>
        </w:r>
        <w:r w:rsidR="00C931D4">
          <w:rPr>
            <w:noProof/>
            <w:webHidden/>
          </w:rPr>
          <w:fldChar w:fldCharType="begin"/>
        </w:r>
        <w:r w:rsidR="00C931D4">
          <w:rPr>
            <w:noProof/>
            <w:webHidden/>
          </w:rPr>
          <w:instrText xml:space="preserve"> PAGEREF _Toc46929431 \h </w:instrText>
        </w:r>
        <w:r w:rsidR="00C931D4">
          <w:rPr>
            <w:noProof/>
            <w:webHidden/>
          </w:rPr>
        </w:r>
        <w:r w:rsidR="00C931D4">
          <w:rPr>
            <w:noProof/>
            <w:webHidden/>
          </w:rPr>
          <w:fldChar w:fldCharType="separate"/>
        </w:r>
        <w:r>
          <w:rPr>
            <w:noProof/>
            <w:webHidden/>
          </w:rPr>
          <w:t>36</w:t>
        </w:r>
        <w:r w:rsidR="00C931D4">
          <w:rPr>
            <w:noProof/>
            <w:webHidden/>
          </w:rPr>
          <w:fldChar w:fldCharType="end"/>
        </w:r>
      </w:hyperlink>
    </w:p>
    <w:p w14:paraId="14658D02" w14:textId="56B4C938" w:rsidR="00C931D4" w:rsidRDefault="00E202C8">
      <w:pPr>
        <w:pStyle w:val="TOC2"/>
        <w:tabs>
          <w:tab w:val="right" w:leader="dot" w:pos="9060"/>
        </w:tabs>
        <w:rPr>
          <w:rFonts w:eastAsiaTheme="minorEastAsia" w:cstheme="minorBidi"/>
          <w:smallCaps w:val="0"/>
          <w:noProof/>
          <w:sz w:val="22"/>
          <w:szCs w:val="22"/>
          <w:lang w:eastAsia="en-GB" w:bidi="ar-SA"/>
        </w:rPr>
      </w:pPr>
      <w:hyperlink w:anchor="_Toc46929432" w:history="1">
        <w:r w:rsidR="00C931D4" w:rsidRPr="001E588B">
          <w:rPr>
            <w:rStyle w:val="Hyperlink"/>
            <w:noProof/>
          </w:rPr>
          <w:t>5.8 Summary of Dietary Exposure Assessment Results</w:t>
        </w:r>
        <w:r w:rsidR="00C931D4">
          <w:rPr>
            <w:noProof/>
            <w:webHidden/>
          </w:rPr>
          <w:tab/>
        </w:r>
        <w:r w:rsidR="00C931D4">
          <w:rPr>
            <w:noProof/>
            <w:webHidden/>
          </w:rPr>
          <w:fldChar w:fldCharType="begin"/>
        </w:r>
        <w:r w:rsidR="00C931D4">
          <w:rPr>
            <w:noProof/>
            <w:webHidden/>
          </w:rPr>
          <w:instrText xml:space="preserve"> PAGEREF _Toc46929432 \h </w:instrText>
        </w:r>
        <w:r w:rsidR="00C931D4">
          <w:rPr>
            <w:noProof/>
            <w:webHidden/>
          </w:rPr>
        </w:r>
        <w:r w:rsidR="00C931D4">
          <w:rPr>
            <w:noProof/>
            <w:webHidden/>
          </w:rPr>
          <w:fldChar w:fldCharType="separate"/>
        </w:r>
        <w:r>
          <w:rPr>
            <w:noProof/>
            <w:webHidden/>
          </w:rPr>
          <w:t>37</w:t>
        </w:r>
        <w:r w:rsidR="00C931D4">
          <w:rPr>
            <w:noProof/>
            <w:webHidden/>
          </w:rPr>
          <w:fldChar w:fldCharType="end"/>
        </w:r>
      </w:hyperlink>
    </w:p>
    <w:p w14:paraId="16DF3622" w14:textId="1E5B9C78" w:rsidR="00C931D4" w:rsidRDefault="00E202C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929433" w:history="1">
        <w:r w:rsidR="00C931D4" w:rsidRPr="001E588B">
          <w:rPr>
            <w:rStyle w:val="Hyperlink"/>
            <w:noProof/>
          </w:rPr>
          <w:t xml:space="preserve">6 </w:t>
        </w:r>
        <w:r w:rsidR="00C931D4">
          <w:rPr>
            <w:rFonts w:eastAsiaTheme="minorEastAsia" w:cstheme="minorBidi"/>
            <w:b w:val="0"/>
            <w:bCs w:val="0"/>
            <w:caps w:val="0"/>
            <w:noProof/>
            <w:sz w:val="22"/>
            <w:szCs w:val="22"/>
            <w:lang w:eastAsia="en-GB" w:bidi="ar-SA"/>
          </w:rPr>
          <w:tab/>
        </w:r>
        <w:r w:rsidR="00C931D4" w:rsidRPr="001E588B">
          <w:rPr>
            <w:rStyle w:val="Hyperlink"/>
            <w:noProof/>
          </w:rPr>
          <w:t>References</w:t>
        </w:r>
        <w:r w:rsidR="00C931D4">
          <w:rPr>
            <w:noProof/>
            <w:webHidden/>
          </w:rPr>
          <w:tab/>
        </w:r>
        <w:r w:rsidR="00C931D4">
          <w:rPr>
            <w:noProof/>
            <w:webHidden/>
          </w:rPr>
          <w:fldChar w:fldCharType="begin"/>
        </w:r>
        <w:r w:rsidR="00C931D4">
          <w:rPr>
            <w:noProof/>
            <w:webHidden/>
          </w:rPr>
          <w:instrText xml:space="preserve"> PAGEREF _Toc46929433 \h </w:instrText>
        </w:r>
        <w:r w:rsidR="00C931D4">
          <w:rPr>
            <w:noProof/>
            <w:webHidden/>
          </w:rPr>
        </w:r>
        <w:r w:rsidR="00C931D4">
          <w:rPr>
            <w:noProof/>
            <w:webHidden/>
          </w:rPr>
          <w:fldChar w:fldCharType="separate"/>
        </w:r>
        <w:r>
          <w:rPr>
            <w:noProof/>
            <w:webHidden/>
          </w:rPr>
          <w:t>38</w:t>
        </w:r>
        <w:r w:rsidR="00C931D4">
          <w:rPr>
            <w:noProof/>
            <w:webHidden/>
          </w:rPr>
          <w:fldChar w:fldCharType="end"/>
        </w:r>
      </w:hyperlink>
    </w:p>
    <w:p w14:paraId="0C2C76DE" w14:textId="630E67C1" w:rsidR="00C931D4" w:rsidRDefault="00E202C8">
      <w:pPr>
        <w:pStyle w:val="TOC2"/>
        <w:tabs>
          <w:tab w:val="right" w:leader="dot" w:pos="9060"/>
        </w:tabs>
        <w:rPr>
          <w:rFonts w:eastAsiaTheme="minorEastAsia" w:cstheme="minorBidi"/>
          <w:smallCaps w:val="0"/>
          <w:noProof/>
          <w:sz w:val="22"/>
          <w:szCs w:val="22"/>
          <w:lang w:eastAsia="en-GB" w:bidi="ar-SA"/>
        </w:rPr>
      </w:pPr>
      <w:hyperlink w:anchor="_Toc46929434" w:history="1">
        <w:r w:rsidR="00C931D4" w:rsidRPr="001E588B">
          <w:rPr>
            <w:rStyle w:val="Hyperlink"/>
            <w:noProof/>
          </w:rPr>
          <w:t>Appendix 1: Dietary Exposure Assessments at FSANZ</w:t>
        </w:r>
        <w:r w:rsidR="00C931D4">
          <w:rPr>
            <w:noProof/>
            <w:webHidden/>
          </w:rPr>
          <w:tab/>
        </w:r>
        <w:r w:rsidR="00C931D4">
          <w:rPr>
            <w:noProof/>
            <w:webHidden/>
          </w:rPr>
          <w:fldChar w:fldCharType="begin"/>
        </w:r>
        <w:r w:rsidR="00C931D4">
          <w:rPr>
            <w:noProof/>
            <w:webHidden/>
          </w:rPr>
          <w:instrText xml:space="preserve"> PAGEREF _Toc46929434 \h </w:instrText>
        </w:r>
        <w:r w:rsidR="00C931D4">
          <w:rPr>
            <w:noProof/>
            <w:webHidden/>
          </w:rPr>
        </w:r>
        <w:r w:rsidR="00C931D4">
          <w:rPr>
            <w:noProof/>
            <w:webHidden/>
          </w:rPr>
          <w:fldChar w:fldCharType="separate"/>
        </w:r>
        <w:r>
          <w:rPr>
            <w:noProof/>
            <w:webHidden/>
          </w:rPr>
          <w:t>41</w:t>
        </w:r>
        <w:r w:rsidR="00C931D4">
          <w:rPr>
            <w:noProof/>
            <w:webHidden/>
          </w:rPr>
          <w:fldChar w:fldCharType="end"/>
        </w:r>
      </w:hyperlink>
    </w:p>
    <w:p w14:paraId="20D8E530" w14:textId="731A5714" w:rsidR="00C931D4" w:rsidRDefault="00E202C8">
      <w:pPr>
        <w:pStyle w:val="TOC2"/>
        <w:tabs>
          <w:tab w:val="right" w:leader="dot" w:pos="9060"/>
        </w:tabs>
        <w:rPr>
          <w:rFonts w:eastAsiaTheme="minorEastAsia" w:cstheme="minorBidi"/>
          <w:smallCaps w:val="0"/>
          <w:noProof/>
          <w:sz w:val="22"/>
          <w:szCs w:val="22"/>
          <w:lang w:eastAsia="en-GB" w:bidi="ar-SA"/>
        </w:rPr>
      </w:pPr>
      <w:hyperlink w:anchor="_Toc46929435" w:history="1">
        <w:r w:rsidR="00C931D4" w:rsidRPr="001E588B">
          <w:rPr>
            <w:rStyle w:val="Hyperlink"/>
            <w:noProof/>
          </w:rPr>
          <w:t>A.1.1 How the estimated dietary exposures were calculated</w:t>
        </w:r>
        <w:r w:rsidR="00C931D4">
          <w:rPr>
            <w:noProof/>
            <w:webHidden/>
          </w:rPr>
          <w:tab/>
        </w:r>
        <w:r w:rsidR="00C931D4">
          <w:rPr>
            <w:noProof/>
            <w:webHidden/>
          </w:rPr>
          <w:fldChar w:fldCharType="begin"/>
        </w:r>
        <w:r w:rsidR="00C931D4">
          <w:rPr>
            <w:noProof/>
            <w:webHidden/>
          </w:rPr>
          <w:instrText xml:space="preserve"> PAGEREF _Toc46929435 \h </w:instrText>
        </w:r>
        <w:r w:rsidR="00C931D4">
          <w:rPr>
            <w:noProof/>
            <w:webHidden/>
          </w:rPr>
        </w:r>
        <w:r w:rsidR="00C931D4">
          <w:rPr>
            <w:noProof/>
            <w:webHidden/>
          </w:rPr>
          <w:fldChar w:fldCharType="separate"/>
        </w:r>
        <w:r>
          <w:rPr>
            <w:noProof/>
            <w:webHidden/>
          </w:rPr>
          <w:t>41</w:t>
        </w:r>
        <w:r w:rsidR="00C931D4">
          <w:rPr>
            <w:noProof/>
            <w:webHidden/>
          </w:rPr>
          <w:fldChar w:fldCharType="end"/>
        </w:r>
      </w:hyperlink>
    </w:p>
    <w:p w14:paraId="3BDD214E" w14:textId="097B4D50" w:rsidR="00C931D4" w:rsidRDefault="00E202C8">
      <w:pPr>
        <w:pStyle w:val="TOC3"/>
        <w:tabs>
          <w:tab w:val="left" w:pos="1100"/>
          <w:tab w:val="right" w:leader="dot" w:pos="9060"/>
        </w:tabs>
        <w:rPr>
          <w:rFonts w:eastAsiaTheme="minorEastAsia" w:cstheme="minorBidi"/>
          <w:i w:val="0"/>
          <w:iCs w:val="0"/>
          <w:noProof/>
          <w:sz w:val="22"/>
          <w:szCs w:val="22"/>
          <w:lang w:eastAsia="en-GB" w:bidi="ar-SA"/>
        </w:rPr>
      </w:pPr>
      <w:hyperlink w:anchor="_Toc46929436" w:history="1">
        <w:r w:rsidR="00C931D4" w:rsidRPr="001E588B">
          <w:rPr>
            <w:rStyle w:val="Hyperlink"/>
            <w:noProof/>
          </w:rPr>
          <w:t>A1.2</w:t>
        </w:r>
        <w:r w:rsidR="00C931D4">
          <w:rPr>
            <w:rFonts w:eastAsiaTheme="minorEastAsia" w:cstheme="minorBidi"/>
            <w:i w:val="0"/>
            <w:iCs w:val="0"/>
            <w:noProof/>
            <w:sz w:val="22"/>
            <w:szCs w:val="22"/>
            <w:lang w:eastAsia="en-GB" w:bidi="ar-SA"/>
          </w:rPr>
          <w:tab/>
        </w:r>
        <w:r w:rsidR="00C931D4" w:rsidRPr="001E588B">
          <w:rPr>
            <w:rStyle w:val="Hyperlink"/>
            <w:noProof/>
          </w:rPr>
          <w:t>Food consumption data used</w:t>
        </w:r>
        <w:r w:rsidR="00C931D4">
          <w:rPr>
            <w:noProof/>
            <w:webHidden/>
          </w:rPr>
          <w:tab/>
        </w:r>
        <w:r w:rsidR="00C931D4">
          <w:rPr>
            <w:noProof/>
            <w:webHidden/>
          </w:rPr>
          <w:fldChar w:fldCharType="begin"/>
        </w:r>
        <w:r w:rsidR="00C931D4">
          <w:rPr>
            <w:noProof/>
            <w:webHidden/>
          </w:rPr>
          <w:instrText xml:space="preserve"> PAGEREF _Toc46929436 \h </w:instrText>
        </w:r>
        <w:r w:rsidR="00C931D4">
          <w:rPr>
            <w:noProof/>
            <w:webHidden/>
          </w:rPr>
        </w:r>
        <w:r w:rsidR="00C931D4">
          <w:rPr>
            <w:noProof/>
            <w:webHidden/>
          </w:rPr>
          <w:fldChar w:fldCharType="separate"/>
        </w:r>
        <w:r>
          <w:rPr>
            <w:noProof/>
            <w:webHidden/>
          </w:rPr>
          <w:t>41</w:t>
        </w:r>
        <w:r w:rsidR="00C931D4">
          <w:rPr>
            <w:noProof/>
            <w:webHidden/>
          </w:rPr>
          <w:fldChar w:fldCharType="end"/>
        </w:r>
      </w:hyperlink>
    </w:p>
    <w:p w14:paraId="2D537006" w14:textId="089193F1" w:rsidR="00C931D4" w:rsidRDefault="00E202C8">
      <w:pPr>
        <w:pStyle w:val="TOC2"/>
        <w:tabs>
          <w:tab w:val="right" w:leader="dot" w:pos="9060"/>
        </w:tabs>
        <w:rPr>
          <w:rFonts w:eastAsiaTheme="minorEastAsia" w:cstheme="minorBidi"/>
          <w:smallCaps w:val="0"/>
          <w:noProof/>
          <w:sz w:val="22"/>
          <w:szCs w:val="22"/>
          <w:lang w:eastAsia="en-GB" w:bidi="ar-SA"/>
        </w:rPr>
      </w:pPr>
      <w:hyperlink w:anchor="_Toc46929437" w:history="1">
        <w:r w:rsidR="00C931D4" w:rsidRPr="001E588B">
          <w:rPr>
            <w:rStyle w:val="Hyperlink"/>
            <w:noProof/>
          </w:rPr>
          <w:t>A1.3 Assumptions and limitations of the dietary exposure assessment</w:t>
        </w:r>
        <w:r w:rsidR="00C931D4">
          <w:rPr>
            <w:noProof/>
            <w:webHidden/>
          </w:rPr>
          <w:tab/>
        </w:r>
        <w:r w:rsidR="00C931D4">
          <w:rPr>
            <w:noProof/>
            <w:webHidden/>
          </w:rPr>
          <w:fldChar w:fldCharType="begin"/>
        </w:r>
        <w:r w:rsidR="00C931D4">
          <w:rPr>
            <w:noProof/>
            <w:webHidden/>
          </w:rPr>
          <w:instrText xml:space="preserve"> PAGEREF _Toc46929437 \h </w:instrText>
        </w:r>
        <w:r w:rsidR="00C931D4">
          <w:rPr>
            <w:noProof/>
            <w:webHidden/>
          </w:rPr>
        </w:r>
        <w:r w:rsidR="00C931D4">
          <w:rPr>
            <w:noProof/>
            <w:webHidden/>
          </w:rPr>
          <w:fldChar w:fldCharType="separate"/>
        </w:r>
        <w:r>
          <w:rPr>
            <w:noProof/>
            <w:webHidden/>
          </w:rPr>
          <w:t>42</w:t>
        </w:r>
        <w:r w:rsidR="00C931D4">
          <w:rPr>
            <w:noProof/>
            <w:webHidden/>
          </w:rPr>
          <w:fldChar w:fldCharType="end"/>
        </w:r>
      </w:hyperlink>
    </w:p>
    <w:p w14:paraId="1FA405FD" w14:textId="41152443" w:rsidR="00051ED9" w:rsidRDefault="00326D85" w:rsidP="00772BDC">
      <w:r>
        <w:fldChar w:fldCharType="end"/>
      </w:r>
    </w:p>
    <w:p w14:paraId="1065669A" w14:textId="5B7F8883" w:rsidR="00A000ED" w:rsidRDefault="00A000ED" w:rsidP="004C28B5">
      <w:pPr>
        <w:pStyle w:val="Heading1"/>
      </w:pPr>
      <w:bookmarkStart w:id="8" w:name="_Toc16234310"/>
      <w:bookmarkStart w:id="9" w:name="_Toc43217034"/>
      <w:bookmarkStart w:id="10" w:name="_Toc44401518"/>
      <w:bookmarkStart w:id="11" w:name="_Toc45284270"/>
      <w:bookmarkStart w:id="12" w:name="_Toc46929393"/>
      <w:r>
        <w:t>1</w:t>
      </w:r>
      <w:r w:rsidR="007A5872" w:rsidRPr="00B13258">
        <w:tab/>
      </w:r>
      <w:r>
        <w:t>Introduction</w:t>
      </w:r>
      <w:bookmarkEnd w:id="8"/>
      <w:bookmarkEnd w:id="9"/>
      <w:bookmarkEnd w:id="10"/>
      <w:bookmarkEnd w:id="11"/>
      <w:bookmarkEnd w:id="12"/>
      <w:r>
        <w:t xml:space="preserve"> </w:t>
      </w:r>
    </w:p>
    <w:p w14:paraId="03955782" w14:textId="2555C20C" w:rsidR="00FC4D96" w:rsidRDefault="00534D37" w:rsidP="00A000ED">
      <w:pPr>
        <w:rPr>
          <w:lang w:bidi="ar-SA"/>
        </w:rPr>
      </w:pPr>
      <w:r w:rsidRPr="00534D37">
        <w:rPr>
          <w:lang w:bidi="ar-SA"/>
        </w:rPr>
        <w:t>An Application received from LANXESS Deutschland GmbH seeks permission to use a mixture of long-chain glycolipids derived from an edible jelly fungus (</w:t>
      </w:r>
      <w:r w:rsidRPr="00050AAA">
        <w:rPr>
          <w:i/>
          <w:lang w:bidi="ar-SA"/>
        </w:rPr>
        <w:t>Dacryopinax spathularia</w:t>
      </w:r>
      <w:r w:rsidRPr="00534D37">
        <w:rPr>
          <w:lang w:bidi="ar-SA"/>
        </w:rPr>
        <w:t xml:space="preserve">) as a preservative in non-alcoholic beverages. </w:t>
      </w:r>
      <w:r w:rsidR="00FC4D96">
        <w:rPr>
          <w:lang w:bidi="ar-SA"/>
        </w:rPr>
        <w:t xml:space="preserve">This Glycolipid mixture is </w:t>
      </w:r>
      <w:r w:rsidR="004C28B5">
        <w:rPr>
          <w:lang w:bidi="ar-SA"/>
        </w:rPr>
        <w:t>commonly referred to as “j</w:t>
      </w:r>
      <w:r w:rsidR="00050AAA">
        <w:rPr>
          <w:lang w:bidi="ar-SA"/>
        </w:rPr>
        <w:t>elly mushroom glycolipids”. The glycolipid mixture has anti-fungal properties against common yeasts and moulds. The applicant considers jelly mushroom glycolipids useful in preventing microbiological spoilage of beverages.</w:t>
      </w:r>
    </w:p>
    <w:p w14:paraId="21F88DCF" w14:textId="055C51F2" w:rsidR="00A000ED" w:rsidRDefault="00A000ED" w:rsidP="000D20BD">
      <w:pPr>
        <w:pStyle w:val="Heading2"/>
        <w:numPr>
          <w:ilvl w:val="1"/>
          <w:numId w:val="16"/>
        </w:numPr>
      </w:pPr>
      <w:bookmarkStart w:id="13" w:name="_Toc16234311"/>
      <w:bookmarkStart w:id="14" w:name="_Toc43217035"/>
      <w:bookmarkStart w:id="15" w:name="_Toc44401519"/>
      <w:bookmarkStart w:id="16" w:name="_Toc45284271"/>
      <w:bookmarkStart w:id="17" w:name="_Toc46929394"/>
      <w:r>
        <w:t>Objectives of the assessment</w:t>
      </w:r>
      <w:bookmarkEnd w:id="13"/>
      <w:bookmarkEnd w:id="14"/>
      <w:bookmarkEnd w:id="15"/>
      <w:bookmarkEnd w:id="16"/>
      <w:bookmarkEnd w:id="17"/>
      <w:r>
        <w:t xml:space="preserve"> </w:t>
      </w:r>
    </w:p>
    <w:p w14:paraId="7286707C" w14:textId="2853B190" w:rsidR="00D60568" w:rsidRDefault="001A57F4" w:rsidP="00F456B8">
      <w:pPr>
        <w:rPr>
          <w:lang w:bidi="ar-SA"/>
        </w:rPr>
      </w:pPr>
      <w:r>
        <w:rPr>
          <w:lang w:bidi="ar-SA"/>
        </w:rPr>
        <w:t>The</w:t>
      </w:r>
      <w:r w:rsidR="008D042B">
        <w:rPr>
          <w:lang w:bidi="ar-SA"/>
        </w:rPr>
        <w:t xml:space="preserve"> </w:t>
      </w:r>
      <w:r>
        <w:rPr>
          <w:lang w:bidi="ar-SA"/>
        </w:rPr>
        <w:t xml:space="preserve">objective of this assessment </w:t>
      </w:r>
      <w:r w:rsidR="00A66C56">
        <w:rPr>
          <w:lang w:bidi="ar-SA"/>
        </w:rPr>
        <w:t xml:space="preserve">is </w:t>
      </w:r>
      <w:r>
        <w:rPr>
          <w:lang w:bidi="ar-SA"/>
        </w:rPr>
        <w:t>to</w:t>
      </w:r>
      <w:r w:rsidR="00F456B8">
        <w:rPr>
          <w:lang w:bidi="ar-SA"/>
        </w:rPr>
        <w:t xml:space="preserve"> d</w:t>
      </w:r>
      <w:r>
        <w:rPr>
          <w:lang w:bidi="ar-SA"/>
        </w:rPr>
        <w:t xml:space="preserve">etermine whether the </w:t>
      </w:r>
      <w:r w:rsidR="003445AA">
        <w:rPr>
          <w:lang w:bidi="ar-SA"/>
        </w:rPr>
        <w:t>jelly mushroom glycolipids</w:t>
      </w:r>
      <w:r w:rsidR="00F35845">
        <w:rPr>
          <w:lang w:bidi="ar-SA"/>
        </w:rPr>
        <w:t xml:space="preserve"> meet</w:t>
      </w:r>
      <w:r>
        <w:rPr>
          <w:lang w:bidi="ar-SA"/>
        </w:rPr>
        <w:t xml:space="preserve"> the described technological function as a preservat</w:t>
      </w:r>
      <w:r w:rsidR="00F456B8">
        <w:rPr>
          <w:lang w:bidi="ar-SA"/>
        </w:rPr>
        <w:t>ive in non-alcoholic beverages. The assessment also seeks to d</w:t>
      </w:r>
      <w:r>
        <w:rPr>
          <w:lang w:bidi="ar-SA"/>
        </w:rPr>
        <w:t>etermine whether AM-1</w:t>
      </w:r>
      <w:r w:rsidR="00353CC4">
        <w:rPr>
          <w:lang w:bidi="ar-SA"/>
        </w:rPr>
        <w:t>(the manufacturers technical term for the glycolipid mixture)</w:t>
      </w:r>
      <w:r>
        <w:rPr>
          <w:lang w:bidi="ar-SA"/>
        </w:rPr>
        <w:t xml:space="preserve"> is safe for </w:t>
      </w:r>
      <w:r w:rsidR="00A66C56">
        <w:rPr>
          <w:lang w:bidi="ar-SA"/>
        </w:rPr>
        <w:t xml:space="preserve">human </w:t>
      </w:r>
      <w:r>
        <w:rPr>
          <w:lang w:bidi="ar-SA"/>
        </w:rPr>
        <w:t xml:space="preserve">consumption, and whether there are any </w:t>
      </w:r>
      <w:r w:rsidR="00A66C56">
        <w:rPr>
          <w:lang w:bidi="ar-SA"/>
        </w:rPr>
        <w:t xml:space="preserve">potential public health and safety </w:t>
      </w:r>
      <w:r>
        <w:rPr>
          <w:lang w:bidi="ar-SA"/>
        </w:rPr>
        <w:t xml:space="preserve">issues with AM-1 </w:t>
      </w:r>
      <w:r w:rsidR="00A66C56">
        <w:rPr>
          <w:lang w:bidi="ar-SA"/>
        </w:rPr>
        <w:t>when</w:t>
      </w:r>
      <w:r>
        <w:rPr>
          <w:lang w:bidi="ar-SA"/>
        </w:rPr>
        <w:t xml:space="preserve"> </w:t>
      </w:r>
      <w:r w:rsidR="0070602D">
        <w:rPr>
          <w:lang w:bidi="ar-SA"/>
        </w:rPr>
        <w:t>added to</w:t>
      </w:r>
      <w:r>
        <w:rPr>
          <w:lang w:bidi="ar-SA"/>
        </w:rPr>
        <w:t xml:space="preserve"> non-alcoholic beverages.</w:t>
      </w:r>
    </w:p>
    <w:p w14:paraId="69088586" w14:textId="35E42328" w:rsidR="00A000ED" w:rsidRDefault="00A000ED" w:rsidP="00A000ED">
      <w:pPr>
        <w:pStyle w:val="Heading1"/>
      </w:pPr>
      <w:bookmarkStart w:id="18" w:name="_Toc43217036"/>
      <w:bookmarkStart w:id="19" w:name="_Toc44401520"/>
      <w:bookmarkStart w:id="20" w:name="_Toc45284272"/>
      <w:bookmarkStart w:id="21" w:name="_Toc46929395"/>
      <w:r>
        <w:t>2</w:t>
      </w:r>
      <w:r w:rsidR="007A5872" w:rsidRPr="00B13258">
        <w:tab/>
      </w:r>
      <w:r>
        <w:t xml:space="preserve">Food Technology </w:t>
      </w:r>
      <w:r w:rsidR="007A5872">
        <w:t>assessment</w:t>
      </w:r>
      <w:bookmarkEnd w:id="18"/>
      <w:bookmarkEnd w:id="19"/>
      <w:bookmarkEnd w:id="20"/>
      <w:bookmarkEnd w:id="21"/>
      <w:r>
        <w:t xml:space="preserve"> </w:t>
      </w:r>
    </w:p>
    <w:p w14:paraId="72105494" w14:textId="7AD20C69" w:rsidR="0018574B" w:rsidRPr="00AA2C10" w:rsidRDefault="00F437F2" w:rsidP="000D20BD">
      <w:pPr>
        <w:pStyle w:val="Heading2"/>
      </w:pPr>
      <w:bookmarkStart w:id="22" w:name="_Toc43217037"/>
      <w:bookmarkStart w:id="23" w:name="_Toc44401521"/>
      <w:bookmarkStart w:id="24" w:name="_Toc45284273"/>
      <w:bookmarkStart w:id="25" w:name="_Toc46929396"/>
      <w:r>
        <w:t>2</w:t>
      </w:r>
      <w:r w:rsidRPr="00AA2C10">
        <w:t>.1</w:t>
      </w:r>
      <w:r w:rsidR="00A66C56">
        <w:tab/>
      </w:r>
      <w:r w:rsidR="00DE2D4F" w:rsidRPr="00DE2D4F">
        <w:t>Chemical names, identification and structure</w:t>
      </w:r>
      <w:bookmarkEnd w:id="22"/>
      <w:bookmarkEnd w:id="23"/>
      <w:bookmarkEnd w:id="24"/>
      <w:bookmarkEnd w:id="25"/>
    </w:p>
    <w:tbl>
      <w:tblPr>
        <w:tblStyle w:val="TableGrid"/>
        <w:tblW w:w="0" w:type="auto"/>
        <w:tblLook w:val="04A0" w:firstRow="1" w:lastRow="0" w:firstColumn="1" w:lastColumn="0" w:noHBand="0" w:noVBand="1"/>
      </w:tblPr>
      <w:tblGrid>
        <w:gridCol w:w="2547"/>
        <w:gridCol w:w="6513"/>
      </w:tblGrid>
      <w:tr w:rsidR="0018574B" w14:paraId="41E9FE06" w14:textId="77777777" w:rsidTr="0018574B">
        <w:trPr>
          <w:trHeight w:val="432"/>
        </w:trPr>
        <w:tc>
          <w:tcPr>
            <w:tcW w:w="9060" w:type="dxa"/>
            <w:gridSpan w:val="2"/>
            <w:tcBorders>
              <w:top w:val="nil"/>
              <w:left w:val="nil"/>
              <w:right w:val="nil"/>
            </w:tcBorders>
          </w:tcPr>
          <w:p w14:paraId="664360EB" w14:textId="0BA19970" w:rsidR="0018574B" w:rsidRPr="00837AED" w:rsidRDefault="005B3A96" w:rsidP="003445AA">
            <w:pPr>
              <w:pStyle w:val="FSTableTitle"/>
              <w:rPr>
                <w:i/>
              </w:rPr>
            </w:pPr>
            <w:r w:rsidRPr="00837AED">
              <w:rPr>
                <w:i/>
              </w:rPr>
              <w:t xml:space="preserve">Table </w:t>
            </w:r>
            <w:r w:rsidRPr="003333EF">
              <w:rPr>
                <w:i/>
              </w:rPr>
              <w:fldChar w:fldCharType="begin"/>
            </w:r>
            <w:r w:rsidRPr="00B30CEA">
              <w:rPr>
                <w:i/>
              </w:rPr>
              <w:instrText xml:space="preserve"> SEQ Table \* ARABIC </w:instrText>
            </w:r>
            <w:r w:rsidRPr="003333EF">
              <w:rPr>
                <w:i/>
              </w:rPr>
              <w:fldChar w:fldCharType="separate"/>
            </w:r>
            <w:r w:rsidR="00E202C8">
              <w:rPr>
                <w:i/>
                <w:noProof/>
              </w:rPr>
              <w:t>1</w:t>
            </w:r>
            <w:r w:rsidRPr="003333EF">
              <w:rPr>
                <w:i/>
              </w:rPr>
              <w:fldChar w:fldCharType="end"/>
            </w:r>
            <w:r w:rsidR="00A66C56">
              <w:rPr>
                <w:i/>
              </w:rPr>
              <w:t xml:space="preserve">: </w:t>
            </w:r>
            <w:r w:rsidR="0018574B" w:rsidRPr="00837AED">
              <w:rPr>
                <w:b w:val="0"/>
                <w:i/>
              </w:rPr>
              <w:t xml:space="preserve">Detail of </w:t>
            </w:r>
            <w:r w:rsidR="0098178F">
              <w:rPr>
                <w:b w:val="0"/>
                <w:i/>
              </w:rPr>
              <w:t>j</w:t>
            </w:r>
            <w:r w:rsidR="003445AA" w:rsidRPr="00837AED">
              <w:rPr>
                <w:b w:val="0"/>
                <w:i/>
              </w:rPr>
              <w:t xml:space="preserve">elly </w:t>
            </w:r>
            <w:r w:rsidR="0098178F">
              <w:rPr>
                <w:b w:val="0"/>
                <w:i/>
              </w:rPr>
              <w:t>m</w:t>
            </w:r>
            <w:r w:rsidR="003445AA" w:rsidRPr="00837AED">
              <w:rPr>
                <w:b w:val="0"/>
                <w:i/>
              </w:rPr>
              <w:t xml:space="preserve">ushroom </w:t>
            </w:r>
            <w:r w:rsidR="0098178F">
              <w:rPr>
                <w:b w:val="0"/>
                <w:i/>
              </w:rPr>
              <w:t>g</w:t>
            </w:r>
            <w:r w:rsidR="003445AA" w:rsidRPr="00837AED">
              <w:rPr>
                <w:b w:val="0"/>
                <w:i/>
              </w:rPr>
              <w:t>lycolipids</w:t>
            </w:r>
            <w:r w:rsidR="0018574B" w:rsidRPr="00837AED">
              <w:rPr>
                <w:b w:val="0"/>
                <w:i/>
              </w:rPr>
              <w:t xml:space="preserve"> identity</w:t>
            </w:r>
          </w:p>
        </w:tc>
      </w:tr>
      <w:tr w:rsidR="00F437F2" w14:paraId="7E20820A" w14:textId="77777777" w:rsidTr="00F437F2">
        <w:trPr>
          <w:trHeight w:val="432"/>
        </w:trPr>
        <w:tc>
          <w:tcPr>
            <w:tcW w:w="2547" w:type="dxa"/>
          </w:tcPr>
          <w:p w14:paraId="3ABA41CA" w14:textId="3379464C" w:rsidR="00F437F2" w:rsidRDefault="00F437F2" w:rsidP="00690206">
            <w:r>
              <w:t>Common Name</w:t>
            </w:r>
            <w:r w:rsidR="0057087E">
              <w:t>s</w:t>
            </w:r>
          </w:p>
        </w:tc>
        <w:tc>
          <w:tcPr>
            <w:tcW w:w="6513" w:type="dxa"/>
          </w:tcPr>
          <w:p w14:paraId="2C0A0EA8" w14:textId="3C86E8DD" w:rsidR="00F437F2" w:rsidRDefault="0057087E" w:rsidP="00690206">
            <w:pPr>
              <w:rPr>
                <w:i/>
              </w:rPr>
            </w:pPr>
            <w:r>
              <w:t>‘</w:t>
            </w:r>
            <w:r w:rsidR="00BF1B19">
              <w:t>Jelly mushroom glycolipids</w:t>
            </w:r>
            <w:r>
              <w:t xml:space="preserve">’ or ‘Natural Glycolipids’ </w:t>
            </w:r>
          </w:p>
          <w:p w14:paraId="167ABFE5" w14:textId="64B9193C" w:rsidR="00F437F2" w:rsidRDefault="00F437F2" w:rsidP="00690206"/>
        </w:tc>
      </w:tr>
      <w:tr w:rsidR="00F437F2" w14:paraId="1CB1E10F" w14:textId="77777777" w:rsidTr="00F437F2">
        <w:tc>
          <w:tcPr>
            <w:tcW w:w="2547" w:type="dxa"/>
          </w:tcPr>
          <w:p w14:paraId="4029AF45" w14:textId="7AEF0347" w:rsidR="00F437F2" w:rsidRDefault="00F437F2" w:rsidP="00690206">
            <w:r>
              <w:t>Other Names</w:t>
            </w:r>
          </w:p>
        </w:tc>
        <w:tc>
          <w:tcPr>
            <w:tcW w:w="6513" w:type="dxa"/>
          </w:tcPr>
          <w:p w14:paraId="1A35CACD" w14:textId="2060C4DC" w:rsidR="00F437F2" w:rsidRDefault="00BF1B19" w:rsidP="00690206">
            <w:r>
              <w:t xml:space="preserve">‘long-chain glycolipids from </w:t>
            </w:r>
            <w:r>
              <w:rPr>
                <w:i/>
              </w:rPr>
              <w:t>Dacryopinax spathularia</w:t>
            </w:r>
            <w:r w:rsidR="00ED1980">
              <w:rPr>
                <w:i/>
              </w:rPr>
              <w:t>’</w:t>
            </w:r>
            <w:r w:rsidR="00067B1D">
              <w:rPr>
                <w:i/>
              </w:rPr>
              <w:t xml:space="preserve"> </w:t>
            </w:r>
            <w:r w:rsidR="00ED1980">
              <w:t xml:space="preserve">or  </w:t>
            </w:r>
            <w:r w:rsidR="00F437F2">
              <w:t>‘</w:t>
            </w:r>
            <w:r w:rsidR="00ED1980">
              <w:t>Nagardo</w:t>
            </w:r>
            <w:r w:rsidR="00ED1980">
              <w:rPr>
                <w:vertAlign w:val="superscript"/>
              </w:rPr>
              <w:t>TM</w:t>
            </w:r>
            <w:r w:rsidR="00ED1980">
              <w:t>’</w:t>
            </w:r>
          </w:p>
        </w:tc>
      </w:tr>
      <w:tr w:rsidR="00F437F2" w14:paraId="3AD8FD0D" w14:textId="77777777" w:rsidTr="00F437F2">
        <w:tc>
          <w:tcPr>
            <w:tcW w:w="2547" w:type="dxa"/>
          </w:tcPr>
          <w:p w14:paraId="6F13B3F8" w14:textId="4A89E7AB" w:rsidR="00F437F2" w:rsidRDefault="00F437F2" w:rsidP="00690206">
            <w:r>
              <w:t>C.A.S registry number</w:t>
            </w:r>
          </w:p>
        </w:tc>
        <w:tc>
          <w:tcPr>
            <w:tcW w:w="6513" w:type="dxa"/>
          </w:tcPr>
          <w:p w14:paraId="0D6C7196" w14:textId="77777777" w:rsidR="00F437F2" w:rsidRDefault="00F437F2" w:rsidP="00690206">
            <w:r w:rsidRPr="00400522">
              <w:t>2205009-17-0</w:t>
            </w:r>
          </w:p>
          <w:p w14:paraId="61EC21C9" w14:textId="36B9B549" w:rsidR="00F437F2" w:rsidRDefault="00F437F2" w:rsidP="00690206"/>
        </w:tc>
      </w:tr>
      <w:tr w:rsidR="00F437F2" w14:paraId="0A4BA5F9" w14:textId="77777777" w:rsidTr="00F437F2">
        <w:tc>
          <w:tcPr>
            <w:tcW w:w="2547" w:type="dxa"/>
          </w:tcPr>
          <w:p w14:paraId="3C3A0242" w14:textId="77777777" w:rsidR="00F437F2" w:rsidRDefault="00F437F2" w:rsidP="00690206">
            <w:r>
              <w:t>Physical Properties</w:t>
            </w:r>
          </w:p>
          <w:p w14:paraId="1B407C1F" w14:textId="6EB8A25F" w:rsidR="00F437F2" w:rsidRDefault="00F437F2" w:rsidP="00690206"/>
        </w:tc>
        <w:tc>
          <w:tcPr>
            <w:tcW w:w="6513" w:type="dxa"/>
          </w:tcPr>
          <w:p w14:paraId="13E66F61" w14:textId="3BE05102" w:rsidR="00F437F2" w:rsidRPr="00400522" w:rsidRDefault="00F437F2" w:rsidP="00690206">
            <w:r>
              <w:t>Off-white ivory powder</w:t>
            </w:r>
            <w:r w:rsidR="00C03F87">
              <w:t xml:space="preserve"> with a weak characteristic </w:t>
            </w:r>
            <w:r w:rsidR="008D042B">
              <w:t>odour</w:t>
            </w:r>
          </w:p>
        </w:tc>
      </w:tr>
      <w:tr w:rsidR="0071782A" w14:paraId="35BD4949" w14:textId="77777777" w:rsidTr="00F437F2">
        <w:tc>
          <w:tcPr>
            <w:tcW w:w="2547" w:type="dxa"/>
          </w:tcPr>
          <w:p w14:paraId="746B0484" w14:textId="41308FF8" w:rsidR="0071782A" w:rsidRDefault="0071782A" w:rsidP="00690206">
            <w:r>
              <w:t xml:space="preserve">Aqueous solubility </w:t>
            </w:r>
          </w:p>
        </w:tc>
        <w:tc>
          <w:tcPr>
            <w:tcW w:w="6513" w:type="dxa"/>
          </w:tcPr>
          <w:p w14:paraId="3C1790D8" w14:textId="507D77CB" w:rsidR="0071782A" w:rsidRDefault="0071782A" w:rsidP="0071782A">
            <w:r>
              <w:t>&gt; 20 g/</w:t>
            </w:r>
            <w:r w:rsidR="000F57AE">
              <w:t>L</w:t>
            </w:r>
          </w:p>
          <w:p w14:paraId="48992215" w14:textId="0D02B648" w:rsidR="0071782A" w:rsidRDefault="0071782A" w:rsidP="0071782A"/>
        </w:tc>
      </w:tr>
      <w:tr w:rsidR="0071782A" w14:paraId="38252A7D" w14:textId="77777777" w:rsidTr="0071782A">
        <w:tc>
          <w:tcPr>
            <w:tcW w:w="2547" w:type="dxa"/>
            <w:tcBorders>
              <w:bottom w:val="single" w:sz="4" w:space="0" w:color="000000"/>
            </w:tcBorders>
          </w:tcPr>
          <w:p w14:paraId="73CB6529" w14:textId="37440787" w:rsidR="0071782A" w:rsidRDefault="0071782A" w:rsidP="00690206">
            <w:r>
              <w:t>Turbidity (0.1% in water)</w:t>
            </w:r>
          </w:p>
        </w:tc>
        <w:tc>
          <w:tcPr>
            <w:tcW w:w="6513" w:type="dxa"/>
            <w:tcBorders>
              <w:bottom w:val="single" w:sz="4" w:space="0" w:color="000000"/>
            </w:tcBorders>
          </w:tcPr>
          <w:p w14:paraId="5CF4D891" w14:textId="5689B5AF" w:rsidR="0071782A" w:rsidRDefault="0071782A" w:rsidP="00690206">
            <w:r>
              <w:t xml:space="preserve">&lt; 8 NTU </w:t>
            </w:r>
          </w:p>
        </w:tc>
      </w:tr>
      <w:tr w:rsidR="0071782A" w14:paraId="28F554C9" w14:textId="77777777" w:rsidTr="0071782A">
        <w:tc>
          <w:tcPr>
            <w:tcW w:w="9060" w:type="dxa"/>
            <w:gridSpan w:val="2"/>
            <w:tcBorders>
              <w:left w:val="nil"/>
              <w:bottom w:val="nil"/>
              <w:right w:val="nil"/>
            </w:tcBorders>
          </w:tcPr>
          <w:p w14:paraId="1FD0D12C" w14:textId="5DA1E4CE" w:rsidR="0071782A" w:rsidRPr="0071782A" w:rsidRDefault="0071782A" w:rsidP="00690206">
            <w:pPr>
              <w:rPr>
                <w:sz w:val="18"/>
                <w:szCs w:val="18"/>
              </w:rPr>
            </w:pPr>
            <w:r w:rsidRPr="0071782A">
              <w:rPr>
                <w:rFonts w:eastAsiaTheme="minorHAnsi"/>
                <w:sz w:val="18"/>
                <w:szCs w:val="18"/>
              </w:rPr>
              <w:t>NTU = Nephelometric Turbidity Unit</w:t>
            </w:r>
          </w:p>
        </w:tc>
      </w:tr>
    </w:tbl>
    <w:p w14:paraId="42A2B81C" w14:textId="77777777" w:rsidR="00F437F2" w:rsidRDefault="00F437F2" w:rsidP="00F437F2">
      <w:pPr>
        <w:jc w:val="center"/>
      </w:pPr>
    </w:p>
    <w:p w14:paraId="1F09D880" w14:textId="69998BB9" w:rsidR="004B6098" w:rsidRDefault="004B6098" w:rsidP="004B6098">
      <w:r>
        <w:t>The major components of the glycolipid mixture (AM-1) are three structurally-related</w:t>
      </w:r>
    </w:p>
    <w:p w14:paraId="1E959E9A" w14:textId="1C54E719" w:rsidR="004B6098" w:rsidRDefault="004B6098" w:rsidP="004B6098">
      <w:r>
        <w:t>glycolipid congeners. Representative structure diagrams for these main components (i, ii, iii) are provided in</w:t>
      </w:r>
      <w:r w:rsidR="00597C5E">
        <w:t xml:space="preserve"> </w:t>
      </w:r>
      <w:r w:rsidR="00C35C87" w:rsidRPr="00C35C87">
        <w:rPr>
          <w:b/>
        </w:rPr>
        <w:t>Figure 1.</w:t>
      </w:r>
    </w:p>
    <w:p w14:paraId="52A849F6" w14:textId="2A17067C" w:rsidR="004B6098" w:rsidRDefault="004B6098" w:rsidP="00B30CEA">
      <w:pPr>
        <w:jc w:val="both"/>
        <w:rPr>
          <w:b/>
          <w:i/>
        </w:rPr>
      </w:pPr>
    </w:p>
    <w:p w14:paraId="2C970674" w14:textId="483AA525" w:rsidR="00837AED" w:rsidRDefault="00B30CEA" w:rsidP="00B91F21">
      <w:pPr>
        <w:widowControl/>
        <w:rPr>
          <w:b/>
          <w:i/>
        </w:rPr>
      </w:pPr>
      <w:r>
        <w:rPr>
          <w:b/>
          <w:i/>
        </w:rPr>
        <w:br w:type="page"/>
      </w:r>
    </w:p>
    <w:p w14:paraId="51D3627A" w14:textId="77777777" w:rsidR="00F437F2" w:rsidRPr="00E50F28" w:rsidRDefault="00F437F2" w:rsidP="00F437F2">
      <w:pPr>
        <w:ind w:left="1170" w:hanging="1080"/>
      </w:pPr>
      <w:r>
        <w:rPr>
          <w:noProof/>
          <w:lang w:eastAsia="en-GB" w:bidi="ar-SA"/>
        </w:rPr>
        <mc:AlternateContent>
          <mc:Choice Requires="wps">
            <w:drawing>
              <wp:anchor distT="0" distB="0" distL="114300" distR="114300" simplePos="0" relativeHeight="251658244" behindDoc="0" locked="0" layoutInCell="1" allowOverlap="1" wp14:anchorId="02ABCC75" wp14:editId="13CF495F">
                <wp:simplePos x="0" y="0"/>
                <wp:positionH relativeFrom="column">
                  <wp:posOffset>47625</wp:posOffset>
                </wp:positionH>
                <wp:positionV relativeFrom="paragraph">
                  <wp:posOffset>91440</wp:posOffset>
                </wp:positionV>
                <wp:extent cx="763270" cy="257175"/>
                <wp:effectExtent l="0" t="0" r="0" b="9525"/>
                <wp:wrapNone/>
                <wp:docPr id="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60F2CB" w14:textId="77777777" w:rsidR="00E202C8" w:rsidRPr="005350E7" w:rsidRDefault="00E202C8" w:rsidP="00F437F2">
                            <w:r w:rsidRPr="005350E7">
                              <w: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ABCC75" id="_x0000_t202" coordsize="21600,21600" o:spt="202" path="m,l,21600r21600,l21600,xe">
                <v:stroke joinstyle="miter"/>
                <v:path gradientshapeok="t" o:connecttype="rect"/>
              </v:shapetype>
              <v:shape id="Text Box 13" o:spid="_x0000_s1026" type="#_x0000_t202" style="position:absolute;left:0;text-align:left;margin-left:3.75pt;margin-top:7.2pt;width:60.1pt;height:20.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" stroked="f">
                <v:textbox>
                  <w:txbxContent>
                    <w:p w14:paraId="7F60F2CB" w14:textId="77777777" w:rsidR="00E202C8" w:rsidRPr="005350E7" w:rsidRDefault="00E202C8" w:rsidP="00F437F2">
                      <w:r w:rsidRPr="005350E7">
                        <w:t>i)</w:t>
                      </w:r>
                    </w:p>
                  </w:txbxContent>
                </v:textbox>
              </v:shape>
            </w:pict>
          </mc:Fallback>
        </mc:AlternateContent>
      </w:r>
      <w:r>
        <w:rPr>
          <w:b/>
          <w:noProof/>
          <w:lang w:eastAsia="en-GB" w:bidi="ar-SA"/>
        </w:rPr>
        <mc:AlternateContent>
          <mc:Choice Requires="wps">
            <w:drawing>
              <wp:anchor distT="0" distB="0" distL="114300" distR="114300" simplePos="0" relativeHeight="251658246" behindDoc="0" locked="0" layoutInCell="1" allowOverlap="1" wp14:anchorId="123E8314" wp14:editId="03375E47">
                <wp:simplePos x="0" y="0"/>
                <wp:positionH relativeFrom="column">
                  <wp:posOffset>2781300</wp:posOffset>
                </wp:positionH>
                <wp:positionV relativeFrom="paragraph">
                  <wp:posOffset>24765</wp:posOffset>
                </wp:positionV>
                <wp:extent cx="790575" cy="238125"/>
                <wp:effectExtent l="0" t="0" r="9525" b="9525"/>
                <wp:wrapNone/>
                <wp:docPr id="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1FAC1" w14:textId="77777777" w:rsidR="00E202C8" w:rsidRPr="005350E7" w:rsidRDefault="00E202C8" w:rsidP="00F437F2">
                            <w:r w:rsidRPr="005350E7">
                              <w:t>i</w:t>
                            </w:r>
                            <w:r>
                              <w:t>ii</w:t>
                            </w:r>
                            <w:r w:rsidRPr="005350E7">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3E8314" id="Text Box 17" o:spid="_x0000_s1027" type="#_x0000_t202" style="position:absolute;left:0;text-align:left;margin-left:219pt;margin-top:1.95pt;width:62.25pt;height:18.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" stroked="f">
                <v:textbox>
                  <w:txbxContent>
                    <w:p w14:paraId="0FD1FAC1" w14:textId="77777777" w:rsidR="00E202C8" w:rsidRPr="005350E7" w:rsidRDefault="00E202C8" w:rsidP="00F437F2">
                      <w:r w:rsidRPr="005350E7">
                        <w:t>i</w:t>
                      </w:r>
                      <w:r>
                        <w:t>ii</w:t>
                      </w:r>
                      <w:r w:rsidRPr="005350E7">
                        <w:t>)</w:t>
                      </w:r>
                    </w:p>
                  </w:txbxContent>
                </v:textbox>
              </v:shape>
            </w:pict>
          </mc:Fallback>
        </mc:AlternateContent>
      </w:r>
      <w:r>
        <w:rPr>
          <w:noProof/>
          <w:lang w:eastAsia="en-GB" w:bidi="ar-SA"/>
        </w:rPr>
        <mc:AlternateContent>
          <mc:Choice Requires="wps">
            <w:drawing>
              <wp:anchor distT="0" distB="0" distL="114300" distR="114300" simplePos="0" relativeHeight="251658242" behindDoc="0" locked="0" layoutInCell="1" allowOverlap="1" wp14:anchorId="7E286C42" wp14:editId="6FCE0F18">
                <wp:simplePos x="0" y="0"/>
                <wp:positionH relativeFrom="column">
                  <wp:posOffset>4330700</wp:posOffset>
                </wp:positionH>
                <wp:positionV relativeFrom="paragraph">
                  <wp:posOffset>168275</wp:posOffset>
                </wp:positionV>
                <wp:extent cx="1295400" cy="452755"/>
                <wp:effectExtent l="0" t="0" r="0" b="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452755"/>
                        </a:xfrm>
                        <a:prstGeom prst="rect">
                          <a:avLst/>
                        </a:prstGeom>
                        <a:noFill/>
                      </wps:spPr>
                      <wps:txbx>
                        <w:txbxContent>
                          <w:p w14:paraId="1F3A14CC" w14:textId="77777777" w:rsidR="00E202C8" w:rsidRPr="00A25752" w:rsidRDefault="00E202C8" w:rsidP="00F437F2">
                            <w:pPr>
                              <w:pStyle w:val="NormalWeb1"/>
                              <w:spacing w:after="0"/>
                              <w:textAlignment w:val="baseline"/>
                              <w:rPr>
                                <w:sz w:val="18"/>
                              </w:rPr>
                            </w:pPr>
                            <w:r w:rsidRPr="00A25752">
                              <w:rPr>
                                <w:rFonts w:ascii="Arial Black" w:hAnsi="Arial Black"/>
                                <w:color w:val="000000"/>
                                <w:kern w:val="24"/>
                                <w:sz w:val="16"/>
                                <w:szCs w:val="21"/>
                              </w:rPr>
                              <w:t>C</w:t>
                            </w:r>
                            <w:r w:rsidRPr="00A25752">
                              <w:rPr>
                                <w:rFonts w:ascii="Arial Black" w:hAnsi="Arial Black"/>
                                <w:color w:val="000000"/>
                                <w:kern w:val="24"/>
                                <w:position w:val="-5"/>
                                <w:sz w:val="16"/>
                                <w:szCs w:val="21"/>
                                <w:vertAlign w:val="subscript"/>
                              </w:rPr>
                              <w:t>49</w:t>
                            </w:r>
                            <w:r w:rsidRPr="00A25752">
                              <w:rPr>
                                <w:rFonts w:ascii="Arial Black" w:hAnsi="Arial Black"/>
                                <w:color w:val="000000"/>
                                <w:kern w:val="24"/>
                                <w:sz w:val="16"/>
                                <w:szCs w:val="21"/>
                              </w:rPr>
                              <w:t>H</w:t>
                            </w:r>
                            <w:r w:rsidRPr="00A25752">
                              <w:rPr>
                                <w:rFonts w:ascii="Arial Black" w:hAnsi="Arial Black"/>
                                <w:color w:val="000000"/>
                                <w:kern w:val="24"/>
                                <w:position w:val="-5"/>
                                <w:sz w:val="16"/>
                                <w:szCs w:val="21"/>
                                <w:vertAlign w:val="subscript"/>
                              </w:rPr>
                              <w:t>88</w:t>
                            </w:r>
                            <w:r w:rsidRPr="00A25752">
                              <w:rPr>
                                <w:rFonts w:ascii="Arial Black" w:hAnsi="Arial Black"/>
                                <w:color w:val="000000"/>
                                <w:kern w:val="24"/>
                                <w:sz w:val="16"/>
                                <w:szCs w:val="21"/>
                              </w:rPr>
                              <w:t>O</w:t>
                            </w:r>
                            <w:r w:rsidRPr="00A25752">
                              <w:rPr>
                                <w:rFonts w:ascii="Arial Black" w:hAnsi="Arial Black"/>
                                <w:color w:val="000000"/>
                                <w:kern w:val="24"/>
                                <w:position w:val="-5"/>
                                <w:sz w:val="16"/>
                                <w:szCs w:val="21"/>
                                <w:vertAlign w:val="subscript"/>
                              </w:rPr>
                              <w:t>21</w:t>
                            </w:r>
                          </w:p>
                          <w:p w14:paraId="123C8C5C" w14:textId="77777777" w:rsidR="00E202C8" w:rsidRPr="00A25752" w:rsidRDefault="00E202C8" w:rsidP="00F437F2">
                            <w:pPr>
                              <w:pStyle w:val="NormalWeb1"/>
                              <w:spacing w:after="0"/>
                              <w:textAlignment w:val="baseline"/>
                              <w:rPr>
                                <w:sz w:val="18"/>
                              </w:rPr>
                            </w:pPr>
                            <w:r w:rsidRPr="00A25752">
                              <w:rPr>
                                <w:rFonts w:ascii="Arial Black" w:hAnsi="Arial Black"/>
                                <w:color w:val="000000"/>
                                <w:kern w:val="24"/>
                                <w:sz w:val="16"/>
                                <w:szCs w:val="21"/>
                              </w:rPr>
                              <w:t>MW: 1012 Da</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w14:anchorId="7E286C42" id="Text Box 12" o:spid="_x0000_s1028" type="#_x0000_t202" style="position:absolute;left:0;text-align:left;margin-left:341pt;margin-top:13.25pt;width:102pt;height:35.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" filled="f" stroked="f">
                <v:path arrowok="t"/>
                <v:textbox style="mso-fit-shape-to-text:t">
                  <w:txbxContent>
                    <w:p w14:paraId="1F3A14CC" w14:textId="77777777" w:rsidR="00E202C8" w:rsidRPr="00A25752" w:rsidRDefault="00E202C8" w:rsidP="00F437F2">
                      <w:pPr>
                        <w:pStyle w:val="NormalWeb1"/>
                        <w:spacing w:after="0"/>
                        <w:textAlignment w:val="baseline"/>
                        <w:rPr>
                          <w:sz w:val="18"/>
                        </w:rPr>
                      </w:pPr>
                      <w:r w:rsidRPr="00A25752">
                        <w:rPr>
                          <w:rFonts w:ascii="Arial Black" w:hAnsi="Arial Black"/>
                          <w:color w:val="000000"/>
                          <w:kern w:val="24"/>
                          <w:sz w:val="16"/>
                          <w:szCs w:val="21"/>
                        </w:rPr>
                        <w:t>C</w:t>
                      </w:r>
                      <w:r w:rsidRPr="00A25752">
                        <w:rPr>
                          <w:rFonts w:ascii="Arial Black" w:hAnsi="Arial Black"/>
                          <w:color w:val="000000"/>
                          <w:kern w:val="24"/>
                          <w:position w:val="-5"/>
                          <w:sz w:val="16"/>
                          <w:szCs w:val="21"/>
                          <w:vertAlign w:val="subscript"/>
                        </w:rPr>
                        <w:t>49</w:t>
                      </w:r>
                      <w:r w:rsidRPr="00A25752">
                        <w:rPr>
                          <w:rFonts w:ascii="Arial Black" w:hAnsi="Arial Black"/>
                          <w:color w:val="000000"/>
                          <w:kern w:val="24"/>
                          <w:sz w:val="16"/>
                          <w:szCs w:val="21"/>
                        </w:rPr>
                        <w:t>H</w:t>
                      </w:r>
                      <w:r w:rsidRPr="00A25752">
                        <w:rPr>
                          <w:rFonts w:ascii="Arial Black" w:hAnsi="Arial Black"/>
                          <w:color w:val="000000"/>
                          <w:kern w:val="24"/>
                          <w:position w:val="-5"/>
                          <w:sz w:val="16"/>
                          <w:szCs w:val="21"/>
                          <w:vertAlign w:val="subscript"/>
                        </w:rPr>
                        <w:t>88</w:t>
                      </w:r>
                      <w:r w:rsidRPr="00A25752">
                        <w:rPr>
                          <w:rFonts w:ascii="Arial Black" w:hAnsi="Arial Black"/>
                          <w:color w:val="000000"/>
                          <w:kern w:val="24"/>
                          <w:sz w:val="16"/>
                          <w:szCs w:val="21"/>
                        </w:rPr>
                        <w:t>O</w:t>
                      </w:r>
                      <w:r w:rsidRPr="00A25752">
                        <w:rPr>
                          <w:rFonts w:ascii="Arial Black" w:hAnsi="Arial Black"/>
                          <w:color w:val="000000"/>
                          <w:kern w:val="24"/>
                          <w:position w:val="-5"/>
                          <w:sz w:val="16"/>
                          <w:szCs w:val="21"/>
                          <w:vertAlign w:val="subscript"/>
                        </w:rPr>
                        <w:t>21</w:t>
                      </w:r>
                    </w:p>
                    <w:p w14:paraId="123C8C5C" w14:textId="77777777" w:rsidR="00E202C8" w:rsidRPr="00A25752" w:rsidRDefault="00E202C8" w:rsidP="00F437F2">
                      <w:pPr>
                        <w:pStyle w:val="NormalWeb1"/>
                        <w:spacing w:after="0"/>
                        <w:textAlignment w:val="baseline"/>
                        <w:rPr>
                          <w:sz w:val="18"/>
                        </w:rPr>
                      </w:pPr>
                      <w:r w:rsidRPr="00A25752">
                        <w:rPr>
                          <w:rFonts w:ascii="Arial Black" w:hAnsi="Arial Black"/>
                          <w:color w:val="000000"/>
                          <w:kern w:val="24"/>
                          <w:sz w:val="16"/>
                          <w:szCs w:val="21"/>
                        </w:rPr>
                        <w:t>MW: 1012 Da</w:t>
                      </w:r>
                    </w:p>
                  </w:txbxContent>
                </v:textbox>
              </v:shape>
            </w:pict>
          </mc:Fallback>
        </mc:AlternateContent>
      </w:r>
      <w:r>
        <w:rPr>
          <w:noProof/>
          <w:lang w:eastAsia="en-GB" w:bidi="ar-SA"/>
        </w:rPr>
        <mc:AlternateContent>
          <mc:Choice Requires="wps">
            <w:drawing>
              <wp:anchor distT="0" distB="0" distL="114300" distR="114300" simplePos="0" relativeHeight="251658241" behindDoc="0" locked="0" layoutInCell="1" allowOverlap="1" wp14:anchorId="4F260ADF" wp14:editId="017BF04C">
                <wp:simplePos x="0" y="0"/>
                <wp:positionH relativeFrom="column">
                  <wp:posOffset>1463675</wp:posOffset>
                </wp:positionH>
                <wp:positionV relativeFrom="paragraph">
                  <wp:posOffset>212090</wp:posOffset>
                </wp:positionV>
                <wp:extent cx="922020" cy="452755"/>
                <wp:effectExtent l="0" t="0" r="0" b="0"/>
                <wp:wrapNone/>
                <wp:docPr id="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20" cy="452755"/>
                        </a:xfrm>
                        <a:prstGeom prst="rect">
                          <a:avLst/>
                        </a:prstGeom>
                        <a:noFill/>
                      </wps:spPr>
                      <wps:txbx>
                        <w:txbxContent>
                          <w:p w14:paraId="5E079F9A" w14:textId="77777777" w:rsidR="00E202C8" w:rsidRPr="00A25752" w:rsidRDefault="00E202C8" w:rsidP="00F437F2">
                            <w:pPr>
                              <w:pStyle w:val="NormalWeb1"/>
                              <w:spacing w:after="0"/>
                              <w:textAlignment w:val="baseline"/>
                              <w:rPr>
                                <w:sz w:val="18"/>
                              </w:rPr>
                            </w:pPr>
                            <w:r w:rsidRPr="00A25752">
                              <w:rPr>
                                <w:rFonts w:ascii="Arial Black" w:eastAsia="+mn-ea" w:hAnsi="Arial Black" w:cs="+mn-cs"/>
                                <w:color w:val="000000"/>
                                <w:kern w:val="24"/>
                                <w:sz w:val="16"/>
                                <w:szCs w:val="21"/>
                              </w:rPr>
                              <w:t>C</w:t>
                            </w:r>
                            <w:r w:rsidRPr="00A25752">
                              <w:rPr>
                                <w:rFonts w:ascii="Arial Black" w:eastAsia="+mn-ea" w:hAnsi="Arial Black" w:cs="+mn-cs"/>
                                <w:color w:val="000000"/>
                                <w:kern w:val="24"/>
                                <w:position w:val="-5"/>
                                <w:sz w:val="16"/>
                                <w:szCs w:val="21"/>
                                <w:vertAlign w:val="subscript"/>
                              </w:rPr>
                              <w:t>46</w:t>
                            </w:r>
                            <w:r w:rsidRPr="00A25752">
                              <w:rPr>
                                <w:rFonts w:ascii="Arial Black" w:eastAsia="+mn-ea" w:hAnsi="Arial Black" w:cs="+mn-cs"/>
                                <w:color w:val="000000"/>
                                <w:kern w:val="24"/>
                                <w:sz w:val="16"/>
                                <w:szCs w:val="21"/>
                              </w:rPr>
                              <w:t>H</w:t>
                            </w:r>
                            <w:r w:rsidRPr="00A25752">
                              <w:rPr>
                                <w:rFonts w:ascii="Arial Black" w:eastAsia="+mn-ea" w:hAnsi="Arial Black" w:cs="+mn-cs"/>
                                <w:color w:val="000000"/>
                                <w:kern w:val="24"/>
                                <w:position w:val="-5"/>
                                <w:sz w:val="16"/>
                                <w:szCs w:val="21"/>
                                <w:vertAlign w:val="subscript"/>
                              </w:rPr>
                              <w:t>82</w:t>
                            </w:r>
                            <w:r w:rsidRPr="00A25752">
                              <w:rPr>
                                <w:rFonts w:ascii="Arial Black" w:eastAsia="+mn-ea" w:hAnsi="Arial Black" w:cs="+mn-cs"/>
                                <w:color w:val="000000"/>
                                <w:kern w:val="24"/>
                                <w:sz w:val="16"/>
                                <w:szCs w:val="21"/>
                              </w:rPr>
                              <w:t>O</w:t>
                            </w:r>
                            <w:r w:rsidRPr="00A25752">
                              <w:rPr>
                                <w:rFonts w:ascii="Arial Black" w:eastAsia="+mn-ea" w:hAnsi="Arial Black" w:cs="+mn-cs"/>
                                <w:color w:val="000000"/>
                                <w:kern w:val="24"/>
                                <w:position w:val="-5"/>
                                <w:sz w:val="16"/>
                                <w:szCs w:val="21"/>
                                <w:vertAlign w:val="subscript"/>
                              </w:rPr>
                              <w:t>21</w:t>
                            </w:r>
                          </w:p>
                          <w:p w14:paraId="6582B308" w14:textId="77777777" w:rsidR="00E202C8" w:rsidRPr="00A25752" w:rsidRDefault="00E202C8" w:rsidP="00F437F2">
                            <w:pPr>
                              <w:pStyle w:val="NormalWeb1"/>
                              <w:spacing w:after="0"/>
                              <w:textAlignment w:val="baseline"/>
                              <w:rPr>
                                <w:sz w:val="18"/>
                              </w:rPr>
                            </w:pPr>
                            <w:r w:rsidRPr="00A25752">
                              <w:rPr>
                                <w:rFonts w:ascii="Arial Black" w:eastAsia="+mn-ea" w:hAnsi="Arial Black" w:cs="+mn-cs"/>
                                <w:color w:val="000000"/>
                                <w:kern w:val="24"/>
                                <w:sz w:val="16"/>
                                <w:szCs w:val="21"/>
                              </w:rPr>
                              <w:t>MW: 970 Da</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w14:anchorId="4F260ADF" id="Text Box 11" o:spid="_x0000_s1029" type="#_x0000_t202" style="position:absolute;left:0;text-align:left;margin-left:115.25pt;margin-top:16.7pt;width:72.6pt;height:35.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" filled="f" stroked="f">
                <v:path arrowok="t"/>
                <v:textbox style="mso-fit-shape-to-text:t">
                  <w:txbxContent>
                    <w:p w14:paraId="5E079F9A" w14:textId="77777777" w:rsidR="00E202C8" w:rsidRPr="00A25752" w:rsidRDefault="00E202C8" w:rsidP="00F437F2">
                      <w:pPr>
                        <w:pStyle w:val="NormalWeb1"/>
                        <w:spacing w:after="0"/>
                        <w:textAlignment w:val="baseline"/>
                        <w:rPr>
                          <w:sz w:val="18"/>
                        </w:rPr>
                      </w:pPr>
                      <w:r w:rsidRPr="00A25752">
                        <w:rPr>
                          <w:rFonts w:ascii="Arial Black" w:eastAsia="+mn-ea" w:hAnsi="Arial Black" w:cs="+mn-cs"/>
                          <w:color w:val="000000"/>
                          <w:kern w:val="24"/>
                          <w:sz w:val="16"/>
                          <w:szCs w:val="21"/>
                        </w:rPr>
                        <w:t>C</w:t>
                      </w:r>
                      <w:r w:rsidRPr="00A25752">
                        <w:rPr>
                          <w:rFonts w:ascii="Arial Black" w:eastAsia="+mn-ea" w:hAnsi="Arial Black" w:cs="+mn-cs"/>
                          <w:color w:val="000000"/>
                          <w:kern w:val="24"/>
                          <w:position w:val="-5"/>
                          <w:sz w:val="16"/>
                          <w:szCs w:val="21"/>
                          <w:vertAlign w:val="subscript"/>
                        </w:rPr>
                        <w:t>46</w:t>
                      </w:r>
                      <w:r w:rsidRPr="00A25752">
                        <w:rPr>
                          <w:rFonts w:ascii="Arial Black" w:eastAsia="+mn-ea" w:hAnsi="Arial Black" w:cs="+mn-cs"/>
                          <w:color w:val="000000"/>
                          <w:kern w:val="24"/>
                          <w:sz w:val="16"/>
                          <w:szCs w:val="21"/>
                        </w:rPr>
                        <w:t>H</w:t>
                      </w:r>
                      <w:r w:rsidRPr="00A25752">
                        <w:rPr>
                          <w:rFonts w:ascii="Arial Black" w:eastAsia="+mn-ea" w:hAnsi="Arial Black" w:cs="+mn-cs"/>
                          <w:color w:val="000000"/>
                          <w:kern w:val="24"/>
                          <w:position w:val="-5"/>
                          <w:sz w:val="16"/>
                          <w:szCs w:val="21"/>
                          <w:vertAlign w:val="subscript"/>
                        </w:rPr>
                        <w:t>82</w:t>
                      </w:r>
                      <w:r w:rsidRPr="00A25752">
                        <w:rPr>
                          <w:rFonts w:ascii="Arial Black" w:eastAsia="+mn-ea" w:hAnsi="Arial Black" w:cs="+mn-cs"/>
                          <w:color w:val="000000"/>
                          <w:kern w:val="24"/>
                          <w:sz w:val="16"/>
                          <w:szCs w:val="21"/>
                        </w:rPr>
                        <w:t>O</w:t>
                      </w:r>
                      <w:r w:rsidRPr="00A25752">
                        <w:rPr>
                          <w:rFonts w:ascii="Arial Black" w:eastAsia="+mn-ea" w:hAnsi="Arial Black" w:cs="+mn-cs"/>
                          <w:color w:val="000000"/>
                          <w:kern w:val="24"/>
                          <w:position w:val="-5"/>
                          <w:sz w:val="16"/>
                          <w:szCs w:val="21"/>
                          <w:vertAlign w:val="subscript"/>
                        </w:rPr>
                        <w:t>21</w:t>
                      </w:r>
                    </w:p>
                    <w:p w14:paraId="6582B308" w14:textId="77777777" w:rsidR="00E202C8" w:rsidRPr="00A25752" w:rsidRDefault="00E202C8" w:rsidP="00F437F2">
                      <w:pPr>
                        <w:pStyle w:val="NormalWeb1"/>
                        <w:spacing w:after="0"/>
                        <w:textAlignment w:val="baseline"/>
                        <w:rPr>
                          <w:sz w:val="18"/>
                        </w:rPr>
                      </w:pPr>
                      <w:r w:rsidRPr="00A25752">
                        <w:rPr>
                          <w:rFonts w:ascii="Arial Black" w:eastAsia="+mn-ea" w:hAnsi="Arial Black" w:cs="+mn-cs"/>
                          <w:color w:val="000000"/>
                          <w:kern w:val="24"/>
                          <w:sz w:val="16"/>
                          <w:szCs w:val="21"/>
                        </w:rPr>
                        <w:t>MW: 970 Da</w:t>
                      </w:r>
                    </w:p>
                  </w:txbxContent>
                </v:textbox>
              </v:shape>
            </w:pict>
          </mc:Fallback>
        </mc:AlternateContent>
      </w:r>
      <w:r w:rsidRPr="00C42F05">
        <w:rPr>
          <w:noProof/>
          <w:lang w:eastAsia="en-GB" w:bidi="ar-SA"/>
        </w:rPr>
        <w:drawing>
          <wp:inline distT="0" distB="0" distL="0" distR="0" wp14:anchorId="0ABE3A93" wp14:editId="3ED9DE43">
            <wp:extent cx="2762250" cy="1362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0" cy="1362075"/>
                    </a:xfrm>
                    <a:prstGeom prst="corner">
                      <a:avLst>
                        <a:gd name="adj1" fmla="val 37134"/>
                        <a:gd name="adj2" fmla="val 98538"/>
                      </a:avLst>
                    </a:prstGeom>
                    <a:noFill/>
                    <a:ln>
                      <a:noFill/>
                    </a:ln>
                    <a:extLst/>
                  </pic:spPr>
                </pic:pic>
              </a:graphicData>
            </a:graphic>
          </wp:inline>
        </w:drawing>
      </w:r>
      <w:r w:rsidRPr="00D06455">
        <w:t xml:space="preserve"> </w:t>
      </w:r>
      <w:r w:rsidRPr="00C42F05">
        <w:rPr>
          <w:noProof/>
          <w:lang w:eastAsia="en-GB" w:bidi="ar-SA"/>
        </w:rPr>
        <w:drawing>
          <wp:inline distT="0" distB="0" distL="0" distR="0" wp14:anchorId="473092E8" wp14:editId="2D80B948">
            <wp:extent cx="2867025" cy="1503670"/>
            <wp:effectExtent l="0" t="0" r="952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67025" cy="1503045"/>
                    </a:xfrm>
                    <a:prstGeom prst="corner">
                      <a:avLst>
                        <a:gd name="adj1" fmla="val 37234"/>
                        <a:gd name="adj2" fmla="val 92021"/>
                      </a:avLst>
                    </a:prstGeom>
                    <a:noFill/>
                    <a:ln>
                      <a:noFill/>
                    </a:ln>
                    <a:extLst/>
                  </pic:spPr>
                </pic:pic>
              </a:graphicData>
            </a:graphic>
          </wp:inline>
        </w:drawing>
      </w:r>
      <w:r w:rsidRPr="00D06455">
        <w:t xml:space="preserve"> </w:t>
      </w:r>
    </w:p>
    <w:p w14:paraId="3575C8F9" w14:textId="533958AE" w:rsidR="00F437F2" w:rsidRDefault="00F437F2" w:rsidP="00F437F2">
      <w:pPr>
        <w:ind w:left="1170" w:hanging="1080"/>
      </w:pPr>
      <w:r>
        <w:rPr>
          <w:b/>
          <w:noProof/>
          <w:szCs w:val="20"/>
          <w:lang w:eastAsia="en-GB" w:bidi="ar-SA"/>
        </w:rPr>
        <mc:AlternateContent>
          <mc:Choice Requires="wps">
            <w:drawing>
              <wp:anchor distT="0" distB="0" distL="114300" distR="114300" simplePos="0" relativeHeight="251658245" behindDoc="0" locked="0" layoutInCell="1" allowOverlap="1" wp14:anchorId="3E50C152" wp14:editId="3B15292D">
                <wp:simplePos x="0" y="0"/>
                <wp:positionH relativeFrom="column">
                  <wp:posOffset>57150</wp:posOffset>
                </wp:positionH>
                <wp:positionV relativeFrom="paragraph">
                  <wp:posOffset>-3810</wp:posOffset>
                </wp:positionV>
                <wp:extent cx="763270" cy="257175"/>
                <wp:effectExtent l="0" t="0" r="0" b="9525"/>
                <wp:wrapNone/>
                <wp:docPr id="3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D2869" w14:textId="77777777" w:rsidR="00E202C8" w:rsidRPr="005350E7" w:rsidRDefault="00E202C8" w:rsidP="00F437F2">
                            <w:r>
                              <w:t>i</w:t>
                            </w:r>
                            <w:r w:rsidRPr="005350E7">
                              <w: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50C152" id="Text Box 16" o:spid="_x0000_s1030" type="#_x0000_t202" style="position:absolute;left:0;text-align:left;margin-left:4.5pt;margin-top:-.3pt;width:60.1pt;height:20.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" stroked="f">
                <v:textbox>
                  <w:txbxContent>
                    <w:p w14:paraId="452D2869" w14:textId="77777777" w:rsidR="00E202C8" w:rsidRPr="005350E7" w:rsidRDefault="00E202C8" w:rsidP="00F437F2">
                      <w:r>
                        <w:t>i</w:t>
                      </w:r>
                      <w:r w:rsidRPr="005350E7">
                        <w:t>i)</w:t>
                      </w:r>
                    </w:p>
                  </w:txbxContent>
                </v:textbox>
              </v:shape>
            </w:pict>
          </mc:Fallback>
        </mc:AlternateContent>
      </w:r>
      <w:r>
        <w:rPr>
          <w:noProof/>
          <w:szCs w:val="20"/>
          <w:lang w:eastAsia="en-GB" w:bidi="ar-SA"/>
        </w:rPr>
        <mc:AlternateContent>
          <mc:Choice Requires="wps">
            <w:drawing>
              <wp:anchor distT="0" distB="0" distL="114300" distR="114300" simplePos="0" relativeHeight="251658243" behindDoc="0" locked="0" layoutInCell="1" allowOverlap="1" wp14:anchorId="35D97AA4" wp14:editId="7342B081">
                <wp:simplePos x="0" y="0"/>
                <wp:positionH relativeFrom="column">
                  <wp:posOffset>1602105</wp:posOffset>
                </wp:positionH>
                <wp:positionV relativeFrom="paragraph">
                  <wp:posOffset>125095</wp:posOffset>
                </wp:positionV>
                <wp:extent cx="1295400" cy="452755"/>
                <wp:effectExtent l="0" t="0" r="0" b="0"/>
                <wp:wrapNone/>
                <wp:docPr id="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452755"/>
                        </a:xfrm>
                        <a:prstGeom prst="rect">
                          <a:avLst/>
                        </a:prstGeom>
                        <a:noFill/>
                      </wps:spPr>
                      <wps:txbx>
                        <w:txbxContent>
                          <w:p w14:paraId="31A0BEDE" w14:textId="77777777" w:rsidR="00E202C8" w:rsidRPr="00A25752" w:rsidRDefault="00E202C8" w:rsidP="00F437F2">
                            <w:pPr>
                              <w:pStyle w:val="NormalWeb1"/>
                              <w:spacing w:after="0"/>
                              <w:textAlignment w:val="baseline"/>
                              <w:rPr>
                                <w:sz w:val="18"/>
                              </w:rPr>
                            </w:pPr>
                            <w:r w:rsidRPr="00A25752">
                              <w:rPr>
                                <w:rFonts w:ascii="Arial Black" w:hAnsi="Arial Black"/>
                                <w:color w:val="000000"/>
                                <w:kern w:val="24"/>
                                <w:sz w:val="16"/>
                                <w:szCs w:val="21"/>
                              </w:rPr>
                              <w:t>C</w:t>
                            </w:r>
                            <w:r w:rsidRPr="00A25752">
                              <w:rPr>
                                <w:rFonts w:ascii="Arial Black" w:hAnsi="Arial Black"/>
                                <w:color w:val="000000"/>
                                <w:kern w:val="24"/>
                                <w:position w:val="-5"/>
                                <w:sz w:val="16"/>
                                <w:szCs w:val="21"/>
                                <w:vertAlign w:val="subscript"/>
                              </w:rPr>
                              <w:t>46</w:t>
                            </w:r>
                            <w:r w:rsidRPr="00A25752">
                              <w:rPr>
                                <w:rFonts w:ascii="Arial Black" w:hAnsi="Arial Black"/>
                                <w:color w:val="000000"/>
                                <w:kern w:val="24"/>
                                <w:sz w:val="16"/>
                                <w:szCs w:val="21"/>
                              </w:rPr>
                              <w:t>H</w:t>
                            </w:r>
                            <w:r w:rsidRPr="00A25752">
                              <w:rPr>
                                <w:rFonts w:ascii="Arial Black" w:hAnsi="Arial Black"/>
                                <w:color w:val="000000"/>
                                <w:kern w:val="24"/>
                                <w:position w:val="-5"/>
                                <w:sz w:val="16"/>
                                <w:szCs w:val="21"/>
                                <w:vertAlign w:val="subscript"/>
                              </w:rPr>
                              <w:t>82</w:t>
                            </w:r>
                            <w:r w:rsidRPr="00A25752">
                              <w:rPr>
                                <w:rFonts w:ascii="Arial Black" w:hAnsi="Arial Black"/>
                                <w:color w:val="000000"/>
                                <w:kern w:val="24"/>
                                <w:sz w:val="16"/>
                                <w:szCs w:val="21"/>
                              </w:rPr>
                              <w:t>O</w:t>
                            </w:r>
                            <w:r w:rsidRPr="00A25752">
                              <w:rPr>
                                <w:rFonts w:ascii="Arial Black" w:hAnsi="Arial Black"/>
                                <w:color w:val="000000"/>
                                <w:kern w:val="24"/>
                                <w:position w:val="-5"/>
                                <w:sz w:val="16"/>
                                <w:szCs w:val="21"/>
                                <w:vertAlign w:val="subscript"/>
                              </w:rPr>
                              <w:t>21</w:t>
                            </w:r>
                          </w:p>
                          <w:p w14:paraId="7EC7125A" w14:textId="77777777" w:rsidR="00E202C8" w:rsidRPr="00A25752" w:rsidRDefault="00E202C8" w:rsidP="00F437F2">
                            <w:pPr>
                              <w:pStyle w:val="NormalWeb1"/>
                              <w:spacing w:after="0"/>
                              <w:textAlignment w:val="baseline"/>
                              <w:rPr>
                                <w:sz w:val="18"/>
                              </w:rPr>
                            </w:pPr>
                            <w:r w:rsidRPr="00A25752">
                              <w:rPr>
                                <w:rFonts w:ascii="Arial Black" w:hAnsi="Arial Black"/>
                                <w:color w:val="000000"/>
                                <w:kern w:val="24"/>
                                <w:sz w:val="16"/>
                                <w:szCs w:val="21"/>
                              </w:rPr>
                              <w:t>MW: 970 Da</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w14:anchorId="35D97AA4" id="Text Box 10" o:spid="_x0000_s1031" type="#_x0000_t202" style="position:absolute;left:0;text-align:left;margin-left:126.15pt;margin-top:9.85pt;width:102pt;height:35.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" filled="f" stroked="f">
                <v:path arrowok="t"/>
                <v:textbox style="mso-fit-shape-to-text:t">
                  <w:txbxContent>
                    <w:p w14:paraId="31A0BEDE" w14:textId="77777777" w:rsidR="00E202C8" w:rsidRPr="00A25752" w:rsidRDefault="00E202C8" w:rsidP="00F437F2">
                      <w:pPr>
                        <w:pStyle w:val="NormalWeb1"/>
                        <w:spacing w:after="0"/>
                        <w:textAlignment w:val="baseline"/>
                        <w:rPr>
                          <w:sz w:val="18"/>
                        </w:rPr>
                      </w:pPr>
                      <w:r w:rsidRPr="00A25752">
                        <w:rPr>
                          <w:rFonts w:ascii="Arial Black" w:hAnsi="Arial Black"/>
                          <w:color w:val="000000"/>
                          <w:kern w:val="24"/>
                          <w:sz w:val="16"/>
                          <w:szCs w:val="21"/>
                        </w:rPr>
                        <w:t>C</w:t>
                      </w:r>
                      <w:r w:rsidRPr="00A25752">
                        <w:rPr>
                          <w:rFonts w:ascii="Arial Black" w:hAnsi="Arial Black"/>
                          <w:color w:val="000000"/>
                          <w:kern w:val="24"/>
                          <w:position w:val="-5"/>
                          <w:sz w:val="16"/>
                          <w:szCs w:val="21"/>
                          <w:vertAlign w:val="subscript"/>
                        </w:rPr>
                        <w:t>46</w:t>
                      </w:r>
                      <w:r w:rsidRPr="00A25752">
                        <w:rPr>
                          <w:rFonts w:ascii="Arial Black" w:hAnsi="Arial Black"/>
                          <w:color w:val="000000"/>
                          <w:kern w:val="24"/>
                          <w:sz w:val="16"/>
                          <w:szCs w:val="21"/>
                        </w:rPr>
                        <w:t>H</w:t>
                      </w:r>
                      <w:r w:rsidRPr="00A25752">
                        <w:rPr>
                          <w:rFonts w:ascii="Arial Black" w:hAnsi="Arial Black"/>
                          <w:color w:val="000000"/>
                          <w:kern w:val="24"/>
                          <w:position w:val="-5"/>
                          <w:sz w:val="16"/>
                          <w:szCs w:val="21"/>
                          <w:vertAlign w:val="subscript"/>
                        </w:rPr>
                        <w:t>82</w:t>
                      </w:r>
                      <w:r w:rsidRPr="00A25752">
                        <w:rPr>
                          <w:rFonts w:ascii="Arial Black" w:hAnsi="Arial Black"/>
                          <w:color w:val="000000"/>
                          <w:kern w:val="24"/>
                          <w:sz w:val="16"/>
                          <w:szCs w:val="21"/>
                        </w:rPr>
                        <w:t>O</w:t>
                      </w:r>
                      <w:r w:rsidRPr="00A25752">
                        <w:rPr>
                          <w:rFonts w:ascii="Arial Black" w:hAnsi="Arial Black"/>
                          <w:color w:val="000000"/>
                          <w:kern w:val="24"/>
                          <w:position w:val="-5"/>
                          <w:sz w:val="16"/>
                          <w:szCs w:val="21"/>
                          <w:vertAlign w:val="subscript"/>
                        </w:rPr>
                        <w:t>21</w:t>
                      </w:r>
                    </w:p>
                    <w:p w14:paraId="7EC7125A" w14:textId="77777777" w:rsidR="00E202C8" w:rsidRPr="00A25752" w:rsidRDefault="00E202C8" w:rsidP="00F437F2">
                      <w:pPr>
                        <w:pStyle w:val="NormalWeb1"/>
                        <w:spacing w:after="0"/>
                        <w:textAlignment w:val="baseline"/>
                        <w:rPr>
                          <w:sz w:val="18"/>
                        </w:rPr>
                      </w:pPr>
                      <w:r w:rsidRPr="00A25752">
                        <w:rPr>
                          <w:rFonts w:ascii="Arial Black" w:hAnsi="Arial Black"/>
                          <w:color w:val="000000"/>
                          <w:kern w:val="24"/>
                          <w:sz w:val="16"/>
                          <w:szCs w:val="21"/>
                        </w:rPr>
                        <w:t>MW: 970 Da</w:t>
                      </w:r>
                    </w:p>
                  </w:txbxContent>
                </v:textbox>
              </v:shape>
            </w:pict>
          </mc:Fallback>
        </mc:AlternateContent>
      </w:r>
      <w:r w:rsidRPr="00C42F05">
        <w:rPr>
          <w:noProof/>
          <w:lang w:eastAsia="en-GB" w:bidi="ar-SA"/>
        </w:rPr>
        <w:drawing>
          <wp:inline distT="0" distB="0" distL="0" distR="0" wp14:anchorId="607A3747" wp14:editId="4BA786B8">
            <wp:extent cx="3305175" cy="1590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r="10567" b="16914"/>
                    <a:stretch>
                      <a:fillRect/>
                    </a:stretch>
                  </pic:blipFill>
                  <pic:spPr bwMode="auto">
                    <a:xfrm>
                      <a:off x="0" y="0"/>
                      <a:ext cx="3305175" cy="1590675"/>
                    </a:xfrm>
                    <a:prstGeom prst="rect">
                      <a:avLst/>
                    </a:prstGeom>
                    <a:noFill/>
                    <a:ln>
                      <a:noFill/>
                    </a:ln>
                  </pic:spPr>
                </pic:pic>
              </a:graphicData>
            </a:graphic>
          </wp:inline>
        </w:drawing>
      </w:r>
    </w:p>
    <w:p w14:paraId="7228D20E" w14:textId="5B938B09" w:rsidR="00F437F2" w:rsidRDefault="00837AED" w:rsidP="00B30CEA">
      <w:pPr>
        <w:pStyle w:val="FSFigureTitle"/>
      </w:pPr>
      <w:r w:rsidRPr="00343CDA">
        <w:rPr>
          <w:b/>
        </w:rPr>
        <w:t xml:space="preserve">Figure </w:t>
      </w:r>
      <w:r w:rsidRPr="00D45074">
        <w:rPr>
          <w:b/>
        </w:rPr>
        <w:fldChar w:fldCharType="begin"/>
      </w:r>
      <w:r w:rsidRPr="008D042B">
        <w:rPr>
          <w:b/>
        </w:rPr>
        <w:instrText xml:space="preserve"> SEQ Figure \* ARABIC </w:instrText>
      </w:r>
      <w:r w:rsidRPr="00D45074">
        <w:rPr>
          <w:b/>
        </w:rPr>
        <w:fldChar w:fldCharType="separate"/>
      </w:r>
      <w:r w:rsidR="00E202C8">
        <w:rPr>
          <w:b/>
          <w:noProof/>
        </w:rPr>
        <w:t>1</w:t>
      </w:r>
      <w:r w:rsidRPr="00D45074">
        <w:rPr>
          <w:b/>
        </w:rPr>
        <w:fldChar w:fldCharType="end"/>
      </w:r>
      <w:r>
        <w:tab/>
      </w:r>
      <w:r w:rsidRPr="0018574B">
        <w:t>Structural formulas and Molecular weights</w:t>
      </w:r>
      <w:r>
        <w:t xml:space="preserve"> of </w:t>
      </w:r>
      <w:r>
        <w:rPr>
          <w:lang w:bidi="ar-SA"/>
        </w:rPr>
        <w:t>jelly mushroom glycolipids</w:t>
      </w:r>
    </w:p>
    <w:p w14:paraId="1844B641" w14:textId="1B355053" w:rsidR="00BF1B19" w:rsidRDefault="00BF1B19" w:rsidP="000D20BD">
      <w:pPr>
        <w:pStyle w:val="Heading2"/>
      </w:pPr>
      <w:bookmarkStart w:id="26" w:name="_Toc43217038"/>
      <w:bookmarkStart w:id="27" w:name="_Toc44401522"/>
      <w:bookmarkStart w:id="28" w:name="_Toc45284274"/>
      <w:bookmarkStart w:id="29" w:name="_Toc46929397"/>
      <w:r>
        <w:t>2.2</w:t>
      </w:r>
      <w:r w:rsidR="00797739">
        <w:tab/>
      </w:r>
      <w:r w:rsidR="00DE2D4F" w:rsidRPr="00DE2D4F">
        <w:t>Manufacturing process</w:t>
      </w:r>
      <w:bookmarkEnd w:id="26"/>
      <w:bookmarkEnd w:id="27"/>
      <w:bookmarkEnd w:id="28"/>
      <w:bookmarkEnd w:id="29"/>
    </w:p>
    <w:p w14:paraId="370429AB" w14:textId="60488C86" w:rsidR="00E300FC" w:rsidRDefault="00C03F87" w:rsidP="00534D37">
      <w:r w:rsidRPr="00C03F87">
        <w:t xml:space="preserve">The </w:t>
      </w:r>
      <w:r w:rsidR="003445AA">
        <w:rPr>
          <w:lang w:bidi="ar-SA"/>
        </w:rPr>
        <w:t>jelly mushroom</w:t>
      </w:r>
      <w:r w:rsidR="003445AA" w:rsidRPr="00C03F87">
        <w:t xml:space="preserve"> glycolipid</w:t>
      </w:r>
      <w:r w:rsidR="003445AA">
        <w:t xml:space="preserve">s </w:t>
      </w:r>
      <w:r w:rsidR="00F35845">
        <w:t>are</w:t>
      </w:r>
      <w:r w:rsidRPr="00C03F87">
        <w:t xml:space="preserve"> obtained through the fermentation of glucose by the edible jelly fungus </w:t>
      </w:r>
      <w:r w:rsidRPr="00025FF5">
        <w:rPr>
          <w:i/>
        </w:rPr>
        <w:t>Dacryopinax spathularia</w:t>
      </w:r>
      <w:r w:rsidRPr="00C03F87">
        <w:t xml:space="preserve">. This fungus is commonly known as </w:t>
      </w:r>
      <w:r w:rsidR="00025FF5">
        <w:t>swee</w:t>
      </w:r>
      <w:r w:rsidRPr="00C03F87">
        <w:t>t osmanthus ear</w:t>
      </w:r>
      <w:r w:rsidR="00024DAE">
        <w:t>.</w:t>
      </w:r>
      <w:r w:rsidR="00024DAE" w:rsidRPr="00024DAE">
        <w:t xml:space="preserve"> </w:t>
      </w:r>
      <w:r w:rsidR="00024DAE">
        <w:t xml:space="preserve">It belongs to the phylum </w:t>
      </w:r>
      <w:r w:rsidR="00024DAE" w:rsidRPr="00DE2D4F">
        <w:rPr>
          <w:i/>
        </w:rPr>
        <w:t>Basidiomycota</w:t>
      </w:r>
      <w:r w:rsidR="00024DAE">
        <w:t xml:space="preserve"> and builds edible orange coloured spatula-shaped fruiting bodies</w:t>
      </w:r>
      <w:r w:rsidR="00D7122C">
        <w:t>.</w:t>
      </w:r>
    </w:p>
    <w:p w14:paraId="596F1249" w14:textId="6FA79F92" w:rsidR="004B439F" w:rsidRDefault="004B439F" w:rsidP="00534D37"/>
    <w:p w14:paraId="1984E3D9" w14:textId="13DA242F" w:rsidR="004B439F" w:rsidRDefault="004B439F" w:rsidP="00534D37">
      <w:r>
        <w:t xml:space="preserve">Fermentation of </w:t>
      </w:r>
      <w:r w:rsidRPr="00534D37">
        <w:rPr>
          <w:i/>
        </w:rPr>
        <w:t>Dacryopinax spathularia</w:t>
      </w:r>
      <w:r>
        <w:t xml:space="preserve"> strain MUCL 53181 is conducted using glucose as carbon source in aerobic submerged culture. Starting from a cryogenic Working Cell Bank, a series of seed cultures is conducted in shake flasks and then in bioreactors with increasing volumes in order to obtain sufficient living fungal cells to inoculate the main culture. The main culture is conducted in fed-batch mode, with start medium and feed medium both consisting of glucose and smaller amounts of yeast extract (commercial extract of autolysed Baker’s yeast </w:t>
      </w:r>
      <w:r w:rsidRPr="00DE2D4F">
        <w:rPr>
          <w:i/>
        </w:rPr>
        <w:t>Saccharomyces cerevisiae</w:t>
      </w:r>
      <w:r>
        <w:t xml:space="preserve">). The culture is maintained at 30 °C for several days until </w:t>
      </w:r>
      <w:r w:rsidR="00797739">
        <w:t xml:space="preserve">the </w:t>
      </w:r>
      <w:r>
        <w:t>maximum titr</w:t>
      </w:r>
      <w:r w:rsidR="00837AED">
        <w:t>e</w:t>
      </w:r>
      <w:r>
        <w:t xml:space="preserve"> of glycolipids is achieved. The feed is stopped and the cells are further cultivated until no free glucose is found in the culture medium</w:t>
      </w:r>
      <w:r w:rsidR="00760956">
        <w:t>.</w:t>
      </w:r>
    </w:p>
    <w:p w14:paraId="1A25B262" w14:textId="77777777" w:rsidR="004B439F" w:rsidRDefault="004B439F" w:rsidP="00534D37"/>
    <w:p w14:paraId="33391612" w14:textId="7981B39B" w:rsidR="004B439F" w:rsidRDefault="00760956" w:rsidP="00534D37">
      <w:r>
        <w:t>T</w:t>
      </w:r>
      <w:r w:rsidR="004B439F">
        <w:t xml:space="preserve">he fungal cells are </w:t>
      </w:r>
      <w:r>
        <w:t xml:space="preserve">then </w:t>
      </w:r>
      <w:r w:rsidR="004B439F">
        <w:t xml:space="preserve">quantitatively removed by microfiltration, followed by acidic precipitation of the glycolipids. </w:t>
      </w:r>
      <w:r w:rsidR="00050AAA">
        <w:t xml:space="preserve">The absence of any remaining intact fungal cells from the source organism </w:t>
      </w:r>
      <w:r w:rsidR="00050AAA" w:rsidRPr="00534D37">
        <w:rPr>
          <w:i/>
        </w:rPr>
        <w:t>Dacryopinax spathularia</w:t>
      </w:r>
      <w:r w:rsidR="00050AAA">
        <w:t xml:space="preserve"> is technically excluded by the design of the microfiltration step and has been confirmed by viable fungal cell count as well as microscopic control of representative batches. </w:t>
      </w:r>
      <w:r w:rsidR="004B439F">
        <w:t>The precipitate is washed with water and neutralized using sodium hydroxide solution. Spray or freeze drying leads to the final product as an off-white</w:t>
      </w:r>
      <w:r>
        <w:t>/ivory</w:t>
      </w:r>
      <w:r w:rsidR="004B439F">
        <w:t>, water soluble powder.</w:t>
      </w:r>
    </w:p>
    <w:p w14:paraId="30107A6B" w14:textId="77777777" w:rsidR="004B439F" w:rsidRDefault="004B439F" w:rsidP="00534D37"/>
    <w:p w14:paraId="5BDE90C0" w14:textId="7835CEE2" w:rsidR="004B439F" w:rsidRDefault="004B439F" w:rsidP="00534D37">
      <w:r>
        <w:t>Nutrient media used in the fermentation process contain glucose and yeast extract. Hydrochloric acid and sodium hydroxide solution are used for pH adjustment during downstream processing. All nutrient components and solutions for pH adjustment are food-grade. The simple production process consists only of typical food-grade processing steps. No organic solvents are used. No chemical reaction or modification of the glycolipids is done.</w:t>
      </w:r>
      <w:r w:rsidR="00A51164">
        <w:t xml:space="preserve"> A manufacturing process flow diagr</w:t>
      </w:r>
      <w:r w:rsidR="004B6098">
        <w:t xml:space="preserve">am is provided </w:t>
      </w:r>
      <w:r w:rsidR="005B3A96">
        <w:fldChar w:fldCharType="begin"/>
      </w:r>
      <w:r w:rsidR="005B3A96">
        <w:instrText xml:space="preserve"> REF _Ref42101414 \p \h </w:instrText>
      </w:r>
      <w:r w:rsidR="005B3A96">
        <w:fldChar w:fldCharType="separate"/>
      </w:r>
      <w:r w:rsidR="00E202C8">
        <w:rPr>
          <w:b/>
          <w:bCs/>
          <w:lang w:val="en-US"/>
        </w:rPr>
        <w:t>Error! Reference source not found.</w:t>
      </w:r>
      <w:r w:rsidR="005B3A96">
        <w:fldChar w:fldCharType="end"/>
      </w:r>
      <w:r w:rsidR="004B6098">
        <w:t xml:space="preserve"> in </w:t>
      </w:r>
      <w:r w:rsidR="00C35C87" w:rsidRPr="00C35C87">
        <w:rPr>
          <w:b/>
        </w:rPr>
        <w:t>Figure 2.</w:t>
      </w:r>
    </w:p>
    <w:p w14:paraId="3B9B6FBF" w14:textId="77E1460C" w:rsidR="002920E4" w:rsidRDefault="002920E4">
      <w:pPr>
        <w:widowControl/>
      </w:pPr>
      <w:r>
        <w:br w:type="page"/>
      </w:r>
    </w:p>
    <w:p w14:paraId="5E7B5790" w14:textId="433899DA" w:rsidR="00A51164" w:rsidRDefault="00A51164" w:rsidP="00A9190F">
      <w:pPr>
        <w:keepNext/>
        <w:keepLines/>
        <w:jc w:val="center"/>
      </w:pPr>
      <w:r>
        <w:rPr>
          <w:b/>
          <w:noProof/>
          <w:lang w:eastAsia="en-GB" w:bidi="ar-SA"/>
        </w:rPr>
        <mc:AlternateContent>
          <mc:Choice Requires="wpg">
            <w:drawing>
              <wp:inline distT="0" distB="0" distL="0" distR="0" wp14:anchorId="6F3CEC2B" wp14:editId="5CB23107">
                <wp:extent cx="5038725" cy="3267075"/>
                <wp:effectExtent l="0" t="0" r="28575" b="28575"/>
                <wp:docPr id="39"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3267075"/>
                          <a:chOff x="1795" y="10527"/>
                          <a:chExt cx="53860" cy="36004"/>
                        </a:xfrm>
                      </wpg:grpSpPr>
                      <wps:wsp>
                        <wps:cNvPr id="40" name="AutoShape 4"/>
                        <wps:cNvSpPr>
                          <a:spLocks noChangeArrowheads="1"/>
                        </wps:cNvSpPr>
                        <wps:spPr bwMode="auto">
                          <a:xfrm>
                            <a:off x="28455" y="26909"/>
                            <a:ext cx="7047" cy="3602"/>
                          </a:xfrm>
                          <a:prstGeom prst="flowChartProcess">
                            <a:avLst/>
                          </a:prstGeom>
                          <a:solidFill>
                            <a:srgbClr val="FFFFFF"/>
                          </a:solidFill>
                          <a:ln w="9525">
                            <a:solidFill>
                              <a:srgbClr val="0F4B98"/>
                            </a:solidFill>
                            <a:miter lim="800000"/>
                            <a:headEnd/>
                            <a:tailEnd/>
                          </a:ln>
                        </wps:spPr>
                        <wps:txbx>
                          <w:txbxContent>
                            <w:p w14:paraId="3A18FF0F" w14:textId="77777777" w:rsidR="00E202C8" w:rsidRDefault="00E202C8" w:rsidP="00A51164">
                              <w:pPr>
                                <w:pStyle w:val="NormalWeb"/>
                                <w:jc w:val="center"/>
                                <w:textAlignment w:val="baseline"/>
                              </w:pPr>
                              <w:r>
                                <w:rPr>
                                  <w:rFonts w:ascii="Arial" w:hAnsi="Arial" w:cs="Arial"/>
                                  <w:color w:val="0F4B98"/>
                                  <w:kern w:val="24"/>
                                  <w:lang w:val="en-US"/>
                                </w:rPr>
                                <w:t>Filtrate</w:t>
                              </w:r>
                            </w:p>
                          </w:txbxContent>
                        </wps:txbx>
                        <wps:bodyPr rot="0" vert="horz" wrap="none" lIns="91440" tIns="45720" rIns="91440" bIns="45720" anchor="ctr" anchorCtr="0" upright="1">
                          <a:noAutofit/>
                        </wps:bodyPr>
                      </wps:wsp>
                      <wps:wsp>
                        <wps:cNvPr id="41" name="AutoShape 5"/>
                        <wps:cNvSpPr>
                          <a:spLocks noChangeArrowheads="1"/>
                        </wps:cNvSpPr>
                        <wps:spPr bwMode="auto">
                          <a:xfrm>
                            <a:off x="46433" y="26907"/>
                            <a:ext cx="9222" cy="3604"/>
                          </a:xfrm>
                          <a:prstGeom prst="flowChartProcess">
                            <a:avLst/>
                          </a:prstGeom>
                          <a:solidFill>
                            <a:srgbClr val="FFFFFF"/>
                          </a:solidFill>
                          <a:ln w="9525">
                            <a:solidFill>
                              <a:srgbClr val="0F4B98"/>
                            </a:solidFill>
                            <a:miter lim="800000"/>
                            <a:headEnd/>
                            <a:tailEnd/>
                          </a:ln>
                        </wps:spPr>
                        <wps:txbx>
                          <w:txbxContent>
                            <w:p w14:paraId="6BFDBF35" w14:textId="77777777" w:rsidR="00E202C8" w:rsidRDefault="00E202C8" w:rsidP="00A51164">
                              <w:pPr>
                                <w:pStyle w:val="NormalWeb"/>
                                <w:jc w:val="center"/>
                                <w:textAlignment w:val="baseline"/>
                              </w:pPr>
                              <w:r>
                                <w:rPr>
                                  <w:rFonts w:ascii="Arial" w:hAnsi="Arial" w:cs="Arial"/>
                                  <w:color w:val="0F4B98"/>
                                  <w:kern w:val="24"/>
                                  <w:lang w:val="en-US"/>
                                </w:rPr>
                                <w:t>Cell mass</w:t>
                              </w:r>
                            </w:p>
                          </w:txbxContent>
                        </wps:txbx>
                        <wps:bodyPr rot="0" vert="horz" wrap="none" lIns="91440" tIns="45720" rIns="91440" bIns="45720" anchor="ctr" anchorCtr="0" upright="1">
                          <a:noAutofit/>
                        </wps:bodyPr>
                      </wps:wsp>
                      <wps:wsp>
                        <wps:cNvPr id="42" name="Text Box 8"/>
                        <wps:cNvSpPr txBox="1">
                          <a:spLocks noChangeArrowheads="1"/>
                        </wps:cNvSpPr>
                        <wps:spPr bwMode="auto">
                          <a:xfrm>
                            <a:off x="48329" y="32847"/>
                            <a:ext cx="6159"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D4F84" w14:textId="77777777" w:rsidR="00E202C8" w:rsidRDefault="00E202C8" w:rsidP="00A51164">
                              <w:pPr>
                                <w:pStyle w:val="NormalWeb"/>
                                <w:ind w:left="144" w:hanging="144"/>
                                <w:textAlignment w:val="baseline"/>
                              </w:pPr>
                              <w:r>
                                <w:rPr>
                                  <w:rFonts w:ascii="Arial" w:hAnsi="Arial" w:cs="Arial"/>
                                  <w:color w:val="0F4B98"/>
                                  <w:kern w:val="24"/>
                                  <w:sz w:val="20"/>
                                  <w:szCs w:val="20"/>
                                  <w:lang w:val="en-US"/>
                                </w:rPr>
                                <w:t>Waste</w:t>
                              </w:r>
                            </w:p>
                          </w:txbxContent>
                        </wps:txbx>
                        <wps:bodyPr rot="0" vert="horz" wrap="square" lIns="91440" tIns="45720" rIns="91440" bIns="45720" anchor="t" anchorCtr="0" upright="1">
                          <a:noAutofit/>
                        </wps:bodyPr>
                      </wps:wsp>
                      <wps:wsp>
                        <wps:cNvPr id="43" name="AutoShape 12"/>
                        <wps:cNvCnPr>
                          <a:cxnSpLocks noChangeShapeType="1"/>
                        </wps:cNvCnPr>
                        <wps:spPr bwMode="auto">
                          <a:xfrm>
                            <a:off x="35270" y="25213"/>
                            <a:ext cx="20" cy="1696"/>
                          </a:xfrm>
                          <a:prstGeom prst="straightConnector1">
                            <a:avLst/>
                          </a:prstGeom>
                          <a:noFill/>
                          <a:ln w="9525">
                            <a:solidFill>
                              <a:srgbClr val="0F4B98"/>
                            </a:solidFill>
                            <a:round/>
                            <a:headEnd/>
                            <a:tailEnd/>
                          </a:ln>
                          <a:extLst>
                            <a:ext uri="{909E8E84-426E-40DD-AFC4-6F175D3DCCD1}">
                              <a14:hiddenFill xmlns:a14="http://schemas.microsoft.com/office/drawing/2010/main">
                                <a:noFill/>
                              </a14:hiddenFill>
                            </a:ext>
                          </a:extLst>
                        </wps:spPr>
                        <wps:bodyPr/>
                      </wps:wsp>
                      <wps:wsp>
                        <wps:cNvPr id="44" name="AutoShape 13"/>
                        <wps:cNvCnPr>
                          <a:cxnSpLocks noChangeShapeType="1"/>
                        </wps:cNvCnPr>
                        <wps:spPr bwMode="auto">
                          <a:xfrm rot="16200000" flipH="1">
                            <a:off x="41545" y="17335"/>
                            <a:ext cx="3299" cy="15850"/>
                          </a:xfrm>
                          <a:prstGeom prst="bentConnector3">
                            <a:avLst>
                              <a:gd name="adj1" fmla="val 4060"/>
                            </a:avLst>
                          </a:prstGeom>
                          <a:noFill/>
                          <a:ln w="9525">
                            <a:solidFill>
                              <a:srgbClr val="0F4B98"/>
                            </a:solidFill>
                            <a:miter lim="800000"/>
                            <a:headEnd/>
                            <a:tailEnd/>
                          </a:ln>
                          <a:extLst>
                            <a:ext uri="{909E8E84-426E-40DD-AFC4-6F175D3DCCD1}">
                              <a14:hiddenFill xmlns:a14="http://schemas.microsoft.com/office/drawing/2010/main">
                                <a:noFill/>
                              </a14:hiddenFill>
                            </a:ext>
                          </a:extLst>
                        </wps:spPr>
                        <wps:bodyPr/>
                      </wps:wsp>
                      <wps:wsp>
                        <wps:cNvPr id="45" name="AutoShape 20"/>
                        <wps:cNvCnPr>
                          <a:cxnSpLocks noChangeShapeType="1"/>
                        </wps:cNvCnPr>
                        <wps:spPr bwMode="auto">
                          <a:xfrm flipH="1">
                            <a:off x="35270" y="30510"/>
                            <a:ext cx="20" cy="1577"/>
                          </a:xfrm>
                          <a:prstGeom prst="straightConnector1">
                            <a:avLst/>
                          </a:prstGeom>
                          <a:noFill/>
                          <a:ln w="9525">
                            <a:solidFill>
                              <a:srgbClr val="0F4B98"/>
                            </a:solidFill>
                            <a:round/>
                            <a:headEnd/>
                            <a:tailEnd/>
                          </a:ln>
                          <a:extLst>
                            <a:ext uri="{909E8E84-426E-40DD-AFC4-6F175D3DCCD1}">
                              <a14:hiddenFill xmlns:a14="http://schemas.microsoft.com/office/drawing/2010/main">
                                <a:noFill/>
                              </a14:hiddenFill>
                            </a:ext>
                          </a:extLst>
                        </wps:spPr>
                        <wps:bodyPr/>
                      </wps:wsp>
                      <wps:wsp>
                        <wps:cNvPr id="46" name="Text Box 22"/>
                        <wps:cNvSpPr txBox="1">
                          <a:spLocks noChangeArrowheads="1"/>
                        </wps:cNvSpPr>
                        <wps:spPr bwMode="auto">
                          <a:xfrm>
                            <a:off x="37178" y="30008"/>
                            <a:ext cx="11151" cy="8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026CA" w14:textId="77777777" w:rsidR="00E202C8" w:rsidRDefault="00E202C8" w:rsidP="00A51164">
                              <w:pPr>
                                <w:pStyle w:val="NormalWeb"/>
                                <w:textAlignment w:val="baseline"/>
                              </w:pPr>
                              <w:r>
                                <w:rPr>
                                  <w:rFonts w:ascii="Arial" w:hAnsi="Arial" w:cs="Arial"/>
                                  <w:color w:val="0F4B98"/>
                                  <w:kern w:val="24"/>
                                  <w:sz w:val="20"/>
                                  <w:szCs w:val="20"/>
                                  <w:lang w:val="en-US"/>
                                </w:rPr>
                                <w:t>Precipitation</w:t>
                              </w:r>
                            </w:p>
                            <w:p w14:paraId="56DCD0D3" w14:textId="77777777" w:rsidR="00E202C8" w:rsidRDefault="00E202C8" w:rsidP="00A51164">
                              <w:pPr>
                                <w:pStyle w:val="NormalWeb"/>
                                <w:textAlignment w:val="baseline"/>
                              </w:pPr>
                              <w:r>
                                <w:rPr>
                                  <w:rFonts w:ascii="Arial" w:hAnsi="Arial" w:cs="Arial"/>
                                  <w:color w:val="0F4B98"/>
                                  <w:kern w:val="24"/>
                                  <w:sz w:val="20"/>
                                  <w:szCs w:val="20"/>
                                  <w:lang w:val="en-US"/>
                                </w:rPr>
                                <w:t>Wash with water</w:t>
                              </w:r>
                            </w:p>
                            <w:p w14:paraId="704411E4" w14:textId="77777777" w:rsidR="00E202C8" w:rsidRDefault="00E202C8" w:rsidP="00A51164">
                              <w:pPr>
                                <w:pStyle w:val="NormalWeb"/>
                                <w:textAlignment w:val="baseline"/>
                              </w:pPr>
                              <w:r>
                                <w:rPr>
                                  <w:rFonts w:ascii="Arial" w:hAnsi="Arial" w:cs="Arial"/>
                                  <w:color w:val="0F4B98"/>
                                  <w:kern w:val="24"/>
                                  <w:sz w:val="20"/>
                                  <w:szCs w:val="20"/>
                                  <w:lang w:val="en-US"/>
                                </w:rPr>
                                <w:t>Neutralization</w:t>
                              </w:r>
                            </w:p>
                          </w:txbxContent>
                        </wps:txbx>
                        <wps:bodyPr rot="0" vert="horz" wrap="square" lIns="91440" tIns="45720" rIns="91440" bIns="45720" anchor="t" anchorCtr="0" upright="1">
                          <a:noAutofit/>
                        </wps:bodyPr>
                      </wps:wsp>
                      <wps:wsp>
                        <wps:cNvPr id="47" name="AutoShape 25"/>
                        <wps:cNvSpPr>
                          <a:spLocks noChangeArrowheads="1"/>
                        </wps:cNvSpPr>
                        <wps:spPr bwMode="auto">
                          <a:xfrm>
                            <a:off x="28416" y="42883"/>
                            <a:ext cx="12469" cy="3611"/>
                          </a:xfrm>
                          <a:prstGeom prst="flowChartProcess">
                            <a:avLst/>
                          </a:prstGeom>
                          <a:solidFill>
                            <a:srgbClr val="99CC00"/>
                          </a:solidFill>
                          <a:ln w="9525">
                            <a:solidFill>
                              <a:srgbClr val="000000"/>
                            </a:solidFill>
                            <a:miter lim="800000"/>
                            <a:headEnd/>
                            <a:tailEnd/>
                          </a:ln>
                        </wps:spPr>
                        <wps:txbx>
                          <w:txbxContent>
                            <w:p w14:paraId="7E6F5B40" w14:textId="61443892" w:rsidR="00E202C8" w:rsidRDefault="00E202C8" w:rsidP="00A51164">
                              <w:pPr>
                                <w:pStyle w:val="NormalWeb"/>
                                <w:jc w:val="center"/>
                                <w:textAlignment w:val="baseline"/>
                              </w:pPr>
                              <w:r>
                                <w:rPr>
                                  <w:rFonts w:ascii="Arial" w:eastAsia="Arial Unicode MS" w:hAnsi="Arial" w:cs="Arial Unicode MS"/>
                                  <w:b/>
                                  <w:bCs/>
                                  <w:color w:val="0F4B98"/>
                                  <w:kern w:val="24"/>
                                  <w:lang w:val="en-US"/>
                                </w:rPr>
                                <w:t>Final Product</w:t>
                              </w:r>
                            </w:p>
                          </w:txbxContent>
                        </wps:txbx>
                        <wps:bodyPr rot="0" vert="horz" wrap="none" lIns="91440" tIns="45720" rIns="91440" bIns="45720" anchor="ctr" anchorCtr="0" upright="1">
                          <a:noAutofit/>
                        </wps:bodyPr>
                      </wps:wsp>
                      <wps:wsp>
                        <wps:cNvPr id="48" name="AutoShape 26"/>
                        <wps:cNvCnPr>
                          <a:cxnSpLocks noChangeShapeType="1"/>
                        </wps:cNvCnPr>
                        <wps:spPr bwMode="auto">
                          <a:xfrm>
                            <a:off x="35270" y="35294"/>
                            <a:ext cx="0" cy="2554"/>
                          </a:xfrm>
                          <a:prstGeom prst="straightConnector1">
                            <a:avLst/>
                          </a:prstGeom>
                          <a:noFill/>
                          <a:ln w="9525">
                            <a:solidFill>
                              <a:srgbClr val="0F4B98"/>
                            </a:solidFill>
                            <a:round/>
                            <a:headEnd/>
                            <a:tailEnd/>
                          </a:ln>
                          <a:extLst>
                            <a:ext uri="{909E8E84-426E-40DD-AFC4-6F175D3DCCD1}">
                              <a14:hiddenFill xmlns:a14="http://schemas.microsoft.com/office/drawing/2010/main">
                                <a:noFill/>
                              </a14:hiddenFill>
                            </a:ext>
                          </a:extLst>
                        </wps:spPr>
                        <wps:bodyPr/>
                      </wps:wsp>
                      <wps:wsp>
                        <wps:cNvPr id="49" name="Text Box 30"/>
                        <wps:cNvSpPr txBox="1">
                          <a:spLocks noChangeArrowheads="1"/>
                        </wps:cNvSpPr>
                        <wps:spPr bwMode="auto">
                          <a:xfrm>
                            <a:off x="36886" y="21284"/>
                            <a:ext cx="18206"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C972C" w14:textId="77777777" w:rsidR="00E202C8" w:rsidRDefault="00E202C8" w:rsidP="00A51164">
                              <w:pPr>
                                <w:pStyle w:val="NormalWeb"/>
                                <w:textAlignment w:val="baseline"/>
                              </w:pPr>
                              <w:r>
                                <w:rPr>
                                  <w:rFonts w:ascii="Arial" w:hAnsi="Arial" w:cs="Arial"/>
                                  <w:color w:val="0F4B98"/>
                                  <w:kern w:val="24"/>
                                  <w:sz w:val="20"/>
                                  <w:szCs w:val="20"/>
                                  <w:lang w:val="en-US"/>
                                </w:rPr>
                                <w:t>Remove cells (microfiltration)</w:t>
                              </w:r>
                            </w:p>
                          </w:txbxContent>
                        </wps:txbx>
                        <wps:bodyPr rot="0" vert="horz" wrap="square" lIns="91440" tIns="45720" rIns="91440" bIns="45720" anchor="t" anchorCtr="0" upright="1">
                          <a:noAutofit/>
                        </wps:bodyPr>
                      </wps:wsp>
                      <wps:wsp>
                        <wps:cNvPr id="50" name="Text Box 31"/>
                        <wps:cNvSpPr txBox="1">
                          <a:spLocks noChangeArrowheads="1"/>
                        </wps:cNvSpPr>
                        <wps:spPr bwMode="auto">
                          <a:xfrm>
                            <a:off x="36981" y="38092"/>
                            <a:ext cx="14951" cy="4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01C45" w14:textId="77777777" w:rsidR="00E202C8" w:rsidRDefault="00E202C8" w:rsidP="00A51164">
                              <w:pPr>
                                <w:pStyle w:val="NormalWeb"/>
                                <w:textAlignment w:val="baseline"/>
                              </w:pPr>
                              <w:r>
                                <w:rPr>
                                  <w:rFonts w:ascii="Arial" w:hAnsi="Arial" w:cs="Arial"/>
                                  <w:color w:val="0F4B98"/>
                                  <w:kern w:val="24"/>
                                  <w:sz w:val="20"/>
                                  <w:szCs w:val="20"/>
                                  <w:lang w:val="en-US"/>
                                </w:rPr>
                                <w:t>Spray drying</w:t>
                              </w:r>
                            </w:p>
                          </w:txbxContent>
                        </wps:txbx>
                        <wps:bodyPr rot="0" vert="horz" wrap="square" lIns="91440" tIns="45720" rIns="91440" bIns="45720" anchor="t" anchorCtr="0" upright="1">
                          <a:noAutofit/>
                        </wps:bodyPr>
                      </wps:wsp>
                      <wps:wsp>
                        <wps:cNvPr id="51" name="AutoShape 33"/>
                        <wps:cNvCnPr>
                          <a:cxnSpLocks noChangeShapeType="1"/>
                        </wps:cNvCnPr>
                        <wps:spPr bwMode="auto">
                          <a:xfrm>
                            <a:off x="35270" y="41055"/>
                            <a:ext cx="8" cy="1833"/>
                          </a:xfrm>
                          <a:prstGeom prst="straightConnector1">
                            <a:avLst/>
                          </a:prstGeom>
                          <a:noFill/>
                          <a:ln w="9525">
                            <a:solidFill>
                              <a:srgbClr val="0F4B98"/>
                            </a:solidFill>
                            <a:round/>
                            <a:headEnd/>
                            <a:tailEnd/>
                          </a:ln>
                          <a:extLst>
                            <a:ext uri="{909E8E84-426E-40DD-AFC4-6F175D3DCCD1}">
                              <a14:hiddenFill xmlns:a14="http://schemas.microsoft.com/office/drawing/2010/main">
                                <a:noFill/>
                              </a14:hiddenFill>
                            </a:ext>
                          </a:extLst>
                        </wps:spPr>
                        <wps:bodyPr/>
                      </wps:wsp>
                      <wps:wsp>
                        <wps:cNvPr id="52" name="AutoShape 32"/>
                        <wps:cNvSpPr>
                          <a:spLocks noChangeArrowheads="1"/>
                        </wps:cNvSpPr>
                        <wps:spPr bwMode="auto">
                          <a:xfrm>
                            <a:off x="34008" y="37848"/>
                            <a:ext cx="2524" cy="3207"/>
                          </a:xfrm>
                          <a:prstGeom prst="flowChartCollate">
                            <a:avLst/>
                          </a:prstGeom>
                          <a:solidFill>
                            <a:srgbClr val="0F4B98"/>
                          </a:solidFill>
                          <a:ln w="9525">
                            <a:solidFill>
                              <a:srgbClr val="0F4B98"/>
                            </a:solidFill>
                            <a:miter lim="800000"/>
                            <a:headEnd/>
                            <a:tailEnd/>
                          </a:ln>
                        </wps:spPr>
                        <wps:bodyPr rot="0" vert="horz" wrap="none" lIns="91440" tIns="45720" rIns="91440" bIns="45720" anchor="ctr" anchorCtr="0" upright="1">
                          <a:noAutofit/>
                        </wps:bodyPr>
                      </wps:wsp>
                      <wps:wsp>
                        <wps:cNvPr id="53" name="Textfeld 1"/>
                        <wps:cNvSpPr txBox="1">
                          <a:spLocks noChangeArrowheads="1"/>
                        </wps:cNvSpPr>
                        <wps:spPr bwMode="auto">
                          <a:xfrm>
                            <a:off x="1795" y="10527"/>
                            <a:ext cx="50408" cy="2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99C64" w14:textId="77777777" w:rsidR="00E202C8" w:rsidRDefault="00E202C8" w:rsidP="00A51164">
                              <w:pPr>
                                <w:pStyle w:val="NormalWeb"/>
                                <w:tabs>
                                  <w:tab w:val="left" w:pos="3675"/>
                                </w:tabs>
                                <w:textAlignment w:val="baseline"/>
                              </w:pPr>
                              <w:r>
                                <w:rPr>
                                  <w:rFonts w:ascii="Arial" w:hAnsi="Arial" w:cs="Arial"/>
                                  <w:color w:val="000000"/>
                                  <w:kern w:val="24"/>
                                  <w:sz w:val="28"/>
                                  <w:szCs w:val="28"/>
                                  <w:lang w:val="en-US"/>
                                </w:rPr>
                                <w:t xml:space="preserve">1) </w:t>
                              </w:r>
                              <w:r>
                                <w:rPr>
                                  <w:rFonts w:ascii="Arial" w:hAnsi="Arial" w:cs="Arial"/>
                                  <w:color w:val="000000"/>
                                  <w:kern w:val="24"/>
                                  <w:sz w:val="28"/>
                                  <w:szCs w:val="28"/>
                                  <w:u w:val="single"/>
                                  <w:lang w:val="en-US"/>
                                </w:rPr>
                                <w:t>Fermentation process</w:t>
                              </w:r>
                              <w:r>
                                <w:rPr>
                                  <w:rFonts w:ascii="Arial" w:hAnsi="Arial" w:cs="Arial"/>
                                  <w:color w:val="000000"/>
                                  <w:kern w:val="24"/>
                                  <w:sz w:val="28"/>
                                  <w:szCs w:val="28"/>
                                  <w:lang w:val="en-US"/>
                                </w:rPr>
                                <w:t>:</w:t>
                              </w:r>
                              <w:r>
                                <w:rPr>
                                  <w:rFonts w:ascii="Arial" w:hAnsi="Arial" w:cs="Arial"/>
                                  <w:color w:val="000000"/>
                                  <w:kern w:val="24"/>
                                  <w:sz w:val="28"/>
                                  <w:szCs w:val="28"/>
                                  <w:lang w:val="en-US"/>
                                </w:rPr>
                                <w:tab/>
                                <w:t xml:space="preserve">2) </w:t>
                              </w:r>
                              <w:r>
                                <w:rPr>
                                  <w:rFonts w:ascii="Arial" w:hAnsi="Arial" w:cs="Arial"/>
                                  <w:color w:val="000000"/>
                                  <w:kern w:val="24"/>
                                  <w:sz w:val="28"/>
                                  <w:szCs w:val="28"/>
                                  <w:u w:val="single"/>
                                  <w:lang w:val="en-US"/>
                                </w:rPr>
                                <w:t>Downstream process</w:t>
                              </w:r>
                              <w:r>
                                <w:rPr>
                                  <w:rFonts w:ascii="Arial" w:hAnsi="Arial" w:cs="Arial"/>
                                  <w:color w:val="000000"/>
                                  <w:kern w:val="24"/>
                                  <w:sz w:val="28"/>
                                  <w:szCs w:val="28"/>
                                  <w:lang w:val="en-US"/>
                                </w:rPr>
                                <w:t>:</w:t>
                              </w:r>
                            </w:p>
                          </w:txbxContent>
                        </wps:txbx>
                        <wps:bodyPr rot="0" vert="horz" wrap="square" lIns="91440" tIns="45720" rIns="91440" bIns="45720" anchor="t" anchorCtr="0" upright="1">
                          <a:noAutofit/>
                        </wps:bodyPr>
                      </wps:wsp>
                      <wps:wsp>
                        <wps:cNvPr id="54" name="AutoShape 3"/>
                        <wps:cNvSpPr>
                          <a:spLocks noChangeArrowheads="1"/>
                        </wps:cNvSpPr>
                        <wps:spPr bwMode="auto">
                          <a:xfrm>
                            <a:off x="28438" y="17008"/>
                            <a:ext cx="19891" cy="3600"/>
                          </a:xfrm>
                          <a:prstGeom prst="flowChartProcess">
                            <a:avLst/>
                          </a:prstGeom>
                          <a:solidFill>
                            <a:srgbClr val="FFFFFF"/>
                          </a:solidFill>
                          <a:ln w="9525">
                            <a:solidFill>
                              <a:srgbClr val="0F4B98"/>
                            </a:solidFill>
                            <a:miter lim="800000"/>
                            <a:headEnd/>
                            <a:tailEnd/>
                          </a:ln>
                        </wps:spPr>
                        <wps:txbx>
                          <w:txbxContent>
                            <w:p w14:paraId="5C4AC4D9" w14:textId="77777777" w:rsidR="00E202C8" w:rsidRDefault="00E202C8" w:rsidP="00A51164">
                              <w:pPr>
                                <w:pStyle w:val="NormalWeb"/>
                                <w:jc w:val="center"/>
                                <w:textAlignment w:val="baseline"/>
                              </w:pPr>
                              <w:r>
                                <w:rPr>
                                  <w:rFonts w:ascii="Arial" w:hAnsi="Arial" w:cs="Arial"/>
                                  <w:color w:val="0F4B98"/>
                                  <w:kern w:val="24"/>
                                  <w:lang w:val="en-US"/>
                                </w:rPr>
                                <w:t>Fermentation broth</w:t>
                              </w:r>
                            </w:p>
                          </w:txbxContent>
                        </wps:txbx>
                        <wps:bodyPr rot="0" vert="horz" wrap="square" lIns="0" tIns="45720" rIns="0" bIns="45720" anchor="ctr" anchorCtr="0" upright="1">
                          <a:noAutofit/>
                        </wps:bodyPr>
                      </wps:wsp>
                      <wps:wsp>
                        <wps:cNvPr id="55" name="AutoShape 32"/>
                        <wps:cNvSpPr>
                          <a:spLocks noChangeArrowheads="1"/>
                        </wps:cNvSpPr>
                        <wps:spPr bwMode="auto">
                          <a:xfrm>
                            <a:off x="34008" y="32087"/>
                            <a:ext cx="2524" cy="3207"/>
                          </a:xfrm>
                          <a:prstGeom prst="flowChartCollate">
                            <a:avLst/>
                          </a:prstGeom>
                          <a:solidFill>
                            <a:srgbClr val="0F4B98"/>
                          </a:solidFill>
                          <a:ln w="9525">
                            <a:solidFill>
                              <a:srgbClr val="0F4B98"/>
                            </a:solidFill>
                            <a:miter lim="800000"/>
                            <a:headEnd/>
                            <a:tailEnd/>
                          </a:ln>
                        </wps:spPr>
                        <wps:bodyPr rot="0" vert="horz" wrap="none" lIns="91440" tIns="45720" rIns="91440" bIns="45720" anchor="ctr" anchorCtr="0" upright="1">
                          <a:noAutofit/>
                        </wps:bodyPr>
                      </wps:wsp>
                      <wps:wsp>
                        <wps:cNvPr id="56" name="AutoShape 32"/>
                        <wps:cNvSpPr>
                          <a:spLocks noChangeArrowheads="1"/>
                        </wps:cNvSpPr>
                        <wps:spPr bwMode="auto">
                          <a:xfrm>
                            <a:off x="34008" y="22006"/>
                            <a:ext cx="2524" cy="3207"/>
                          </a:xfrm>
                          <a:prstGeom prst="flowChartCollate">
                            <a:avLst/>
                          </a:prstGeom>
                          <a:solidFill>
                            <a:srgbClr val="0F4B98"/>
                          </a:solidFill>
                          <a:ln w="9525">
                            <a:solidFill>
                              <a:srgbClr val="000000"/>
                            </a:solidFill>
                            <a:miter lim="800000"/>
                            <a:headEnd/>
                            <a:tailEnd/>
                          </a:ln>
                        </wps:spPr>
                        <wps:bodyPr rot="0" vert="horz" wrap="none" lIns="91440" tIns="45720" rIns="91440" bIns="45720" anchor="ctr" anchorCtr="0" upright="1">
                          <a:noAutofit/>
                        </wps:bodyPr>
                      </wps:wsp>
                      <wps:wsp>
                        <wps:cNvPr id="57" name="AutoShape 12"/>
                        <wps:cNvCnPr/>
                        <wps:spPr bwMode="auto">
                          <a:xfrm flipH="1">
                            <a:off x="35270" y="20608"/>
                            <a:ext cx="8" cy="1398"/>
                          </a:xfrm>
                          <a:prstGeom prst="straightConnector1">
                            <a:avLst/>
                          </a:prstGeom>
                          <a:noFill/>
                          <a:ln w="9525">
                            <a:solidFill>
                              <a:srgbClr val="0F4B98"/>
                            </a:solidFill>
                            <a:round/>
                            <a:headEnd/>
                            <a:tailEnd/>
                          </a:ln>
                          <a:extLst>
                            <a:ext uri="{909E8E84-426E-40DD-AFC4-6F175D3DCCD1}">
                              <a14:hiddenFill xmlns:a14="http://schemas.microsoft.com/office/drawing/2010/main">
                                <a:noFill/>
                              </a14:hiddenFill>
                            </a:ext>
                          </a:extLst>
                        </wps:spPr>
                        <wps:bodyPr/>
                      </wps:wsp>
                      <wps:wsp>
                        <wps:cNvPr id="58" name="AutoShape 3"/>
                        <wps:cNvSpPr>
                          <a:spLocks noChangeArrowheads="1"/>
                        </wps:cNvSpPr>
                        <wps:spPr bwMode="auto">
                          <a:xfrm>
                            <a:off x="4675" y="17008"/>
                            <a:ext cx="13681" cy="3600"/>
                          </a:xfrm>
                          <a:prstGeom prst="flowChartProcess">
                            <a:avLst/>
                          </a:prstGeom>
                          <a:solidFill>
                            <a:srgbClr val="FFFFFF"/>
                          </a:solidFill>
                          <a:ln w="9525">
                            <a:solidFill>
                              <a:srgbClr val="0F4B98"/>
                            </a:solidFill>
                            <a:miter lim="800000"/>
                            <a:headEnd/>
                            <a:tailEnd/>
                          </a:ln>
                        </wps:spPr>
                        <wps:txbx>
                          <w:txbxContent>
                            <w:p w14:paraId="1FEE94C4" w14:textId="77777777" w:rsidR="00E202C8" w:rsidRDefault="00E202C8" w:rsidP="00A51164">
                              <w:pPr>
                                <w:pStyle w:val="NormalWeb"/>
                                <w:jc w:val="center"/>
                                <w:textAlignment w:val="baseline"/>
                              </w:pPr>
                              <w:r>
                                <w:rPr>
                                  <w:rFonts w:ascii="Arial" w:hAnsi="Arial" w:cs="Arial"/>
                                  <w:color w:val="0F4B98"/>
                                  <w:kern w:val="24"/>
                                  <w:lang w:val="en-US"/>
                                </w:rPr>
                                <w:t>Master cell bank</w:t>
                              </w:r>
                            </w:p>
                          </w:txbxContent>
                        </wps:txbx>
                        <wps:bodyPr rot="0" vert="horz" wrap="square" lIns="0" tIns="45720" rIns="0" bIns="45720" anchor="ctr" anchorCtr="0" upright="1">
                          <a:noAutofit/>
                        </wps:bodyPr>
                      </wps:wsp>
                      <wps:wsp>
                        <wps:cNvPr id="59" name="AutoShape 3"/>
                        <wps:cNvSpPr>
                          <a:spLocks noChangeArrowheads="1"/>
                        </wps:cNvSpPr>
                        <wps:spPr bwMode="auto">
                          <a:xfrm>
                            <a:off x="4675" y="23488"/>
                            <a:ext cx="13681" cy="3601"/>
                          </a:xfrm>
                          <a:prstGeom prst="flowChartProcess">
                            <a:avLst/>
                          </a:prstGeom>
                          <a:solidFill>
                            <a:srgbClr val="FFFFFF"/>
                          </a:solidFill>
                          <a:ln w="9525">
                            <a:solidFill>
                              <a:srgbClr val="0F4B98"/>
                            </a:solidFill>
                            <a:miter lim="800000"/>
                            <a:headEnd/>
                            <a:tailEnd/>
                          </a:ln>
                        </wps:spPr>
                        <wps:txbx>
                          <w:txbxContent>
                            <w:p w14:paraId="5B527021" w14:textId="77777777" w:rsidR="00E202C8" w:rsidRDefault="00E202C8" w:rsidP="00A51164">
                              <w:pPr>
                                <w:pStyle w:val="NormalWeb"/>
                                <w:jc w:val="center"/>
                                <w:textAlignment w:val="baseline"/>
                              </w:pPr>
                              <w:r>
                                <w:rPr>
                                  <w:rFonts w:ascii="Arial" w:hAnsi="Arial" w:cs="Arial"/>
                                  <w:color w:val="0F4B98"/>
                                  <w:kern w:val="24"/>
                                  <w:lang w:val="en-US"/>
                                </w:rPr>
                                <w:t>Seed culture 1</w:t>
                              </w:r>
                            </w:p>
                          </w:txbxContent>
                        </wps:txbx>
                        <wps:bodyPr rot="0" vert="horz" wrap="square" lIns="0" tIns="45720" rIns="0" bIns="45720" anchor="ctr" anchorCtr="0" upright="1">
                          <a:noAutofit/>
                        </wps:bodyPr>
                      </wps:wsp>
                      <wps:wsp>
                        <wps:cNvPr id="60" name="AutoShape 3"/>
                        <wps:cNvSpPr>
                          <a:spLocks noChangeArrowheads="1"/>
                        </wps:cNvSpPr>
                        <wps:spPr bwMode="auto">
                          <a:xfrm>
                            <a:off x="4675" y="29969"/>
                            <a:ext cx="13681" cy="3600"/>
                          </a:xfrm>
                          <a:prstGeom prst="flowChartProcess">
                            <a:avLst/>
                          </a:prstGeom>
                          <a:solidFill>
                            <a:srgbClr val="FFFFFF"/>
                          </a:solidFill>
                          <a:ln w="9525">
                            <a:solidFill>
                              <a:srgbClr val="0F4B98"/>
                            </a:solidFill>
                            <a:miter lim="800000"/>
                            <a:headEnd/>
                            <a:tailEnd/>
                          </a:ln>
                        </wps:spPr>
                        <wps:txbx>
                          <w:txbxContent>
                            <w:p w14:paraId="378DCA67" w14:textId="77777777" w:rsidR="00E202C8" w:rsidRDefault="00E202C8" w:rsidP="00A51164">
                              <w:pPr>
                                <w:pStyle w:val="NormalWeb"/>
                                <w:jc w:val="center"/>
                                <w:textAlignment w:val="baseline"/>
                              </w:pPr>
                              <w:r>
                                <w:rPr>
                                  <w:rFonts w:ascii="Arial" w:hAnsi="Arial" w:cs="Arial"/>
                                  <w:color w:val="0F4B98"/>
                                  <w:kern w:val="24"/>
                                  <w:lang w:val="en-US"/>
                                </w:rPr>
                                <w:t>Seed culture 2</w:t>
                              </w:r>
                            </w:p>
                          </w:txbxContent>
                        </wps:txbx>
                        <wps:bodyPr rot="0" vert="horz" wrap="square" lIns="0" tIns="45720" rIns="0" bIns="45720" anchor="ctr" anchorCtr="0" upright="1">
                          <a:noAutofit/>
                        </wps:bodyPr>
                      </wps:wsp>
                      <wps:wsp>
                        <wps:cNvPr id="61" name="AutoShape 3"/>
                        <wps:cNvSpPr>
                          <a:spLocks noChangeArrowheads="1"/>
                        </wps:cNvSpPr>
                        <wps:spPr bwMode="auto">
                          <a:xfrm>
                            <a:off x="4675" y="36450"/>
                            <a:ext cx="13681" cy="3600"/>
                          </a:xfrm>
                          <a:prstGeom prst="flowChartProcess">
                            <a:avLst/>
                          </a:prstGeom>
                          <a:solidFill>
                            <a:srgbClr val="FFFFFF"/>
                          </a:solidFill>
                          <a:ln w="9525">
                            <a:solidFill>
                              <a:srgbClr val="0F4B98"/>
                            </a:solidFill>
                            <a:miter lim="800000"/>
                            <a:headEnd/>
                            <a:tailEnd/>
                          </a:ln>
                        </wps:spPr>
                        <wps:txbx>
                          <w:txbxContent>
                            <w:p w14:paraId="25C36187" w14:textId="77777777" w:rsidR="00E202C8" w:rsidRDefault="00E202C8" w:rsidP="00A51164">
                              <w:pPr>
                                <w:pStyle w:val="NormalWeb"/>
                                <w:jc w:val="center"/>
                                <w:textAlignment w:val="baseline"/>
                              </w:pPr>
                              <w:r>
                                <w:rPr>
                                  <w:rFonts w:ascii="Arial" w:hAnsi="Arial" w:cs="Arial"/>
                                  <w:color w:val="0F4B98"/>
                                  <w:kern w:val="24"/>
                                  <w:lang w:val="en-US"/>
                                </w:rPr>
                                <w:t>Seed culture 3</w:t>
                              </w:r>
                            </w:p>
                          </w:txbxContent>
                        </wps:txbx>
                        <wps:bodyPr rot="0" vert="horz" wrap="square" lIns="0" tIns="45720" rIns="0" bIns="45720" anchor="ctr" anchorCtr="0" upright="1">
                          <a:noAutofit/>
                        </wps:bodyPr>
                      </wps:wsp>
                      <wps:wsp>
                        <wps:cNvPr id="62" name="AutoShape 3"/>
                        <wps:cNvSpPr>
                          <a:spLocks noChangeArrowheads="1"/>
                        </wps:cNvSpPr>
                        <wps:spPr bwMode="auto">
                          <a:xfrm>
                            <a:off x="4675" y="42930"/>
                            <a:ext cx="13681" cy="3601"/>
                          </a:xfrm>
                          <a:prstGeom prst="flowChartProcess">
                            <a:avLst/>
                          </a:prstGeom>
                          <a:solidFill>
                            <a:srgbClr val="FFFFFF"/>
                          </a:solidFill>
                          <a:ln w="9525">
                            <a:solidFill>
                              <a:srgbClr val="0F4B98"/>
                            </a:solidFill>
                            <a:miter lim="800000"/>
                            <a:headEnd/>
                            <a:tailEnd/>
                          </a:ln>
                        </wps:spPr>
                        <wps:txbx>
                          <w:txbxContent>
                            <w:p w14:paraId="1EF36D88" w14:textId="77777777" w:rsidR="00E202C8" w:rsidRDefault="00E202C8" w:rsidP="00A51164">
                              <w:pPr>
                                <w:pStyle w:val="NormalWeb"/>
                                <w:jc w:val="center"/>
                                <w:textAlignment w:val="baseline"/>
                              </w:pPr>
                              <w:r>
                                <w:rPr>
                                  <w:rFonts w:ascii="Arial" w:hAnsi="Arial" w:cs="Arial"/>
                                  <w:color w:val="0F4B98"/>
                                  <w:kern w:val="24"/>
                                  <w:lang w:val="en-US"/>
                                </w:rPr>
                                <w:t>Main culture</w:t>
                              </w:r>
                            </w:p>
                          </w:txbxContent>
                        </wps:txbx>
                        <wps:bodyPr rot="0" vert="horz" wrap="square" lIns="0" tIns="45720" rIns="0" bIns="45720" anchor="ctr" anchorCtr="0" upright="1">
                          <a:noAutofit/>
                        </wps:bodyPr>
                      </wps:wsp>
                      <wps:wsp>
                        <wps:cNvPr id="63" name="Pfeil nach unten 40"/>
                        <wps:cNvSpPr>
                          <a:spLocks noChangeArrowheads="1"/>
                        </wps:cNvSpPr>
                        <wps:spPr bwMode="auto">
                          <a:xfrm>
                            <a:off x="10436" y="20608"/>
                            <a:ext cx="2160" cy="2160"/>
                          </a:xfrm>
                          <a:prstGeom prst="downArrow">
                            <a:avLst>
                              <a:gd name="adj1" fmla="val 50000"/>
                              <a:gd name="adj2" fmla="val 50000"/>
                            </a:avLst>
                          </a:prstGeom>
                          <a:solidFill>
                            <a:srgbClr val="0F4B98"/>
                          </a:solidFill>
                          <a:ln w="25400">
                            <a:solidFill>
                              <a:srgbClr val="08356E"/>
                            </a:solidFill>
                            <a:miter lim="800000"/>
                            <a:headEnd/>
                            <a:tailEnd/>
                          </a:ln>
                        </wps:spPr>
                        <wps:bodyPr rot="0" vert="horz" wrap="square" lIns="91440" tIns="45720" rIns="91440" bIns="45720" anchor="ctr" anchorCtr="0" upright="1">
                          <a:noAutofit/>
                        </wps:bodyPr>
                      </wps:wsp>
                      <wps:wsp>
                        <wps:cNvPr id="64" name="Pfeil nach unten 41"/>
                        <wps:cNvSpPr>
                          <a:spLocks noChangeArrowheads="1"/>
                        </wps:cNvSpPr>
                        <wps:spPr bwMode="auto">
                          <a:xfrm>
                            <a:off x="10436" y="27089"/>
                            <a:ext cx="2160" cy="2160"/>
                          </a:xfrm>
                          <a:prstGeom prst="downArrow">
                            <a:avLst>
                              <a:gd name="adj1" fmla="val 50000"/>
                              <a:gd name="adj2" fmla="val 50000"/>
                            </a:avLst>
                          </a:prstGeom>
                          <a:solidFill>
                            <a:srgbClr val="0F4B98"/>
                          </a:solidFill>
                          <a:ln w="25400">
                            <a:solidFill>
                              <a:srgbClr val="08356E"/>
                            </a:solidFill>
                            <a:miter lim="800000"/>
                            <a:headEnd/>
                            <a:tailEnd/>
                          </a:ln>
                        </wps:spPr>
                        <wps:bodyPr rot="0" vert="horz" wrap="square" lIns="91440" tIns="45720" rIns="91440" bIns="45720" anchor="ctr" anchorCtr="0" upright="1">
                          <a:noAutofit/>
                        </wps:bodyPr>
                      </wps:wsp>
                      <wps:wsp>
                        <wps:cNvPr id="65" name="Pfeil nach unten 42"/>
                        <wps:cNvSpPr>
                          <a:spLocks noChangeArrowheads="1"/>
                        </wps:cNvSpPr>
                        <wps:spPr bwMode="auto">
                          <a:xfrm>
                            <a:off x="10436" y="33569"/>
                            <a:ext cx="2160" cy="2161"/>
                          </a:xfrm>
                          <a:prstGeom prst="downArrow">
                            <a:avLst>
                              <a:gd name="adj1" fmla="val 50000"/>
                              <a:gd name="adj2" fmla="val 50023"/>
                            </a:avLst>
                          </a:prstGeom>
                          <a:solidFill>
                            <a:srgbClr val="0F4B98"/>
                          </a:solidFill>
                          <a:ln w="25400">
                            <a:solidFill>
                              <a:srgbClr val="08356E"/>
                            </a:solidFill>
                            <a:miter lim="800000"/>
                            <a:headEnd/>
                            <a:tailEnd/>
                          </a:ln>
                        </wps:spPr>
                        <wps:bodyPr rot="0" vert="horz" wrap="square" lIns="91440" tIns="45720" rIns="91440" bIns="45720" anchor="ctr" anchorCtr="0" upright="1">
                          <a:noAutofit/>
                        </wps:bodyPr>
                      </wps:wsp>
                      <wps:wsp>
                        <wps:cNvPr id="66" name="Pfeil nach unten 43"/>
                        <wps:cNvSpPr>
                          <a:spLocks noChangeArrowheads="1"/>
                        </wps:cNvSpPr>
                        <wps:spPr bwMode="auto">
                          <a:xfrm>
                            <a:off x="10436" y="40050"/>
                            <a:ext cx="2160" cy="2160"/>
                          </a:xfrm>
                          <a:prstGeom prst="downArrow">
                            <a:avLst>
                              <a:gd name="adj1" fmla="val 50000"/>
                              <a:gd name="adj2" fmla="val 50000"/>
                            </a:avLst>
                          </a:prstGeom>
                          <a:solidFill>
                            <a:srgbClr val="0F4B98"/>
                          </a:solidFill>
                          <a:ln w="25400">
                            <a:solidFill>
                              <a:srgbClr val="08356E"/>
                            </a:solidFill>
                            <a:miter lim="800000"/>
                            <a:headEnd/>
                            <a:tailEnd/>
                          </a:ln>
                        </wps:spPr>
                        <wps:bodyPr rot="0" vert="horz" wrap="square" lIns="91440" tIns="45720" rIns="91440" bIns="45720" anchor="ctr" anchorCtr="0" upright="1">
                          <a:noAutofit/>
                        </wps:bodyPr>
                      </wps:wsp>
                      <wps:wsp>
                        <wps:cNvPr id="67" name="Pfeil nach unten 44"/>
                        <wps:cNvSpPr>
                          <a:spLocks noChangeArrowheads="1"/>
                        </wps:cNvSpPr>
                        <wps:spPr bwMode="auto">
                          <a:xfrm>
                            <a:off x="49772" y="30689"/>
                            <a:ext cx="2160" cy="2160"/>
                          </a:xfrm>
                          <a:prstGeom prst="downArrow">
                            <a:avLst>
                              <a:gd name="adj1" fmla="val 50000"/>
                              <a:gd name="adj2" fmla="val 50000"/>
                            </a:avLst>
                          </a:prstGeom>
                          <a:solidFill>
                            <a:srgbClr val="0F4B98"/>
                          </a:solidFill>
                          <a:ln w="25400">
                            <a:solidFill>
                              <a:srgbClr val="08356E"/>
                            </a:solidFill>
                            <a:miter lim="800000"/>
                            <a:headEnd/>
                            <a:tailEnd/>
                          </a:ln>
                        </wps:spPr>
                        <wps:bodyPr rot="0" vert="horz" wrap="square" lIns="91440" tIns="45720" rIns="91440" bIns="45720" anchor="ctr" anchorCtr="0" upright="1">
                          <a:noAutofit/>
                        </wps:bodyPr>
                      </wps:wsp>
                    </wpg:wgp>
                  </a:graphicData>
                </a:graphic>
              </wp:inline>
            </w:drawing>
          </mc:Choice>
          <mc:Fallback>
            <w:pict>
              <v:group w14:anchorId="6F3CEC2B" id="Gruppieren 8" o:spid="_x0000_s1032" style="width:396.75pt;height:257.25pt;mso-position-horizontal-relative:char;mso-position-vertical-relative:line" coordorigin="1795,10527" coordsize="53860,3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">
                <v:shapetype id="_x0000_t109" coordsize="21600,21600" o:spt="109" path="m,l,21600r21600,l21600,xe">
                  <v:stroke joinstyle="miter"/>
                  <v:path gradientshapeok="t" o:connecttype="rect"/>
                </v:shapetype>
                <v:shape id="AutoShape 4" o:spid="_x0000_s1033" type="#_x0000_t109" style="position:absolute;left:28455;top:26909;width:7047;height:360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" strokecolor="#0f4b98">
                  <v:textbox>
                    <w:txbxContent>
                      <w:p w14:paraId="3A18FF0F" w14:textId="77777777" w:rsidR="00E202C8" w:rsidRDefault="00E202C8" w:rsidP="00A51164">
                        <w:pPr>
                          <w:pStyle w:val="NormalWeb"/>
                          <w:jc w:val="center"/>
                          <w:textAlignment w:val="baseline"/>
                        </w:pPr>
                        <w:r>
                          <w:rPr>
                            <w:rFonts w:ascii="Arial" w:hAnsi="Arial" w:cs="Arial"/>
                            <w:color w:val="0F4B98"/>
                            <w:kern w:val="24"/>
                            <w:lang w:val="en-US"/>
                          </w:rPr>
                          <w:t>Filtrate</w:t>
                        </w:r>
                      </w:p>
                    </w:txbxContent>
                  </v:textbox>
                </v:shape>
                <v:shape id="AutoShape 5" o:spid="_x0000_s1034" type="#_x0000_t109" style="position:absolute;left:46433;top:26907;width:9222;height:360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" strokecolor="#0f4b98">
                  <v:textbox>
                    <w:txbxContent>
                      <w:p w14:paraId="6BFDBF35" w14:textId="77777777" w:rsidR="00E202C8" w:rsidRDefault="00E202C8" w:rsidP="00A51164">
                        <w:pPr>
                          <w:pStyle w:val="NormalWeb"/>
                          <w:jc w:val="center"/>
                          <w:textAlignment w:val="baseline"/>
                        </w:pPr>
                        <w:r>
                          <w:rPr>
                            <w:rFonts w:ascii="Arial" w:hAnsi="Arial" w:cs="Arial"/>
                            <w:color w:val="0F4B98"/>
                            <w:kern w:val="24"/>
                            <w:lang w:val="en-US"/>
                          </w:rPr>
                          <w:t>Cell mass</w:t>
                        </w:r>
                      </w:p>
                    </w:txbxContent>
                  </v:textbox>
                </v:shape>
                <v:shape id="Text Box 8" o:spid="_x0000_s1035" type="#_x0000_t202" style="position:absolute;left:48329;top:32847;width:615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09D4F84" w14:textId="77777777" w:rsidR="00E202C8" w:rsidRDefault="00E202C8" w:rsidP="00A51164">
                        <w:pPr>
                          <w:pStyle w:val="NormalWeb"/>
                          <w:ind w:left="144" w:hanging="144"/>
                          <w:textAlignment w:val="baseline"/>
                        </w:pPr>
                        <w:r>
                          <w:rPr>
                            <w:rFonts w:ascii="Arial" w:hAnsi="Arial" w:cs="Arial"/>
                            <w:color w:val="0F4B98"/>
                            <w:kern w:val="24"/>
                            <w:sz w:val="20"/>
                            <w:szCs w:val="20"/>
                            <w:lang w:val="en-US"/>
                          </w:rPr>
                          <w:t>Waste</w:t>
                        </w:r>
                      </w:p>
                    </w:txbxContent>
                  </v:textbox>
                </v:shape>
                <v:shapetype id="_x0000_t32" coordsize="21600,21600" o:spt="32" o:oned="t" path="m,l21600,21600e" filled="f">
                  <v:path arrowok="t" fillok="f" o:connecttype="none"/>
                  <o:lock v:ext="edit" shapetype="t"/>
                </v:shapetype>
                <v:shape id="AutoShape 12" o:spid="_x0000_s1036" type="#_x0000_t32" style="position:absolute;left:35270;top:25213;width:20;height:16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" strokecolor="#0f4b98"/>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7" type="#_x0000_t34" style="position:absolute;left:41545;top:17335;width:3299;height:1585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" adj="877" strokecolor="#0f4b98"/>
                <v:shape id="AutoShape 20" o:spid="_x0000_s1038" type="#_x0000_t32" style="position:absolute;left:35270;top:30510;width:20;height:15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" strokecolor="#0f4b98"/>
                <v:shape id="Text Box 22" o:spid="_x0000_s1039" type="#_x0000_t202" style="position:absolute;left:37178;top:30008;width:11151;height:8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2E0026CA" w14:textId="77777777" w:rsidR="00E202C8" w:rsidRDefault="00E202C8" w:rsidP="00A51164">
                        <w:pPr>
                          <w:pStyle w:val="NormalWeb"/>
                          <w:textAlignment w:val="baseline"/>
                        </w:pPr>
                        <w:r>
                          <w:rPr>
                            <w:rFonts w:ascii="Arial" w:hAnsi="Arial" w:cs="Arial"/>
                            <w:color w:val="0F4B98"/>
                            <w:kern w:val="24"/>
                            <w:sz w:val="20"/>
                            <w:szCs w:val="20"/>
                            <w:lang w:val="en-US"/>
                          </w:rPr>
                          <w:t>Precipitation</w:t>
                        </w:r>
                      </w:p>
                      <w:p w14:paraId="56DCD0D3" w14:textId="77777777" w:rsidR="00E202C8" w:rsidRDefault="00E202C8" w:rsidP="00A51164">
                        <w:pPr>
                          <w:pStyle w:val="NormalWeb"/>
                          <w:textAlignment w:val="baseline"/>
                        </w:pPr>
                        <w:r>
                          <w:rPr>
                            <w:rFonts w:ascii="Arial" w:hAnsi="Arial" w:cs="Arial"/>
                            <w:color w:val="0F4B98"/>
                            <w:kern w:val="24"/>
                            <w:sz w:val="20"/>
                            <w:szCs w:val="20"/>
                            <w:lang w:val="en-US"/>
                          </w:rPr>
                          <w:t>Wash with water</w:t>
                        </w:r>
                      </w:p>
                      <w:p w14:paraId="704411E4" w14:textId="77777777" w:rsidR="00E202C8" w:rsidRDefault="00E202C8" w:rsidP="00A51164">
                        <w:pPr>
                          <w:pStyle w:val="NormalWeb"/>
                          <w:textAlignment w:val="baseline"/>
                        </w:pPr>
                        <w:r>
                          <w:rPr>
                            <w:rFonts w:ascii="Arial" w:hAnsi="Arial" w:cs="Arial"/>
                            <w:color w:val="0F4B98"/>
                            <w:kern w:val="24"/>
                            <w:sz w:val="20"/>
                            <w:szCs w:val="20"/>
                            <w:lang w:val="en-US"/>
                          </w:rPr>
                          <w:t>Neutralization</w:t>
                        </w:r>
                      </w:p>
                    </w:txbxContent>
                  </v:textbox>
                </v:shape>
                <v:shape id="AutoShape 25" o:spid="_x0000_s1040" type="#_x0000_t109" style="position:absolute;left:28416;top:42883;width:12469;height:361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" fillcolor="#9c0">
                  <v:textbox>
                    <w:txbxContent>
                      <w:p w14:paraId="7E6F5B40" w14:textId="61443892" w:rsidR="00E202C8" w:rsidRDefault="00E202C8" w:rsidP="00A51164">
                        <w:pPr>
                          <w:pStyle w:val="NormalWeb"/>
                          <w:jc w:val="center"/>
                          <w:textAlignment w:val="baseline"/>
                        </w:pPr>
                        <w:r>
                          <w:rPr>
                            <w:rFonts w:ascii="Arial" w:eastAsia="Arial Unicode MS" w:hAnsi="Arial" w:cs="Arial Unicode MS"/>
                            <w:b/>
                            <w:bCs/>
                            <w:color w:val="0F4B98"/>
                            <w:kern w:val="24"/>
                            <w:lang w:val="en-US"/>
                          </w:rPr>
                          <w:t>Final Product</w:t>
                        </w:r>
                      </w:p>
                    </w:txbxContent>
                  </v:textbox>
                </v:shape>
                <v:shape id="AutoShape 26" o:spid="_x0000_s1041" type="#_x0000_t32" style="position:absolute;left:35270;top:35294;width:0;height:25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" strokecolor="#0f4b98"/>
                <v:shape id="Text Box 30" o:spid="_x0000_s1042" type="#_x0000_t202" style="position:absolute;left:36886;top:21284;width:1820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10C972C" w14:textId="77777777" w:rsidR="00E202C8" w:rsidRDefault="00E202C8" w:rsidP="00A51164">
                        <w:pPr>
                          <w:pStyle w:val="NormalWeb"/>
                          <w:textAlignment w:val="baseline"/>
                        </w:pPr>
                        <w:r>
                          <w:rPr>
                            <w:rFonts w:ascii="Arial" w:hAnsi="Arial" w:cs="Arial"/>
                            <w:color w:val="0F4B98"/>
                            <w:kern w:val="24"/>
                            <w:sz w:val="20"/>
                            <w:szCs w:val="20"/>
                            <w:lang w:val="en-US"/>
                          </w:rPr>
                          <w:t>Remove cells (microfiltration)</w:t>
                        </w:r>
                      </w:p>
                    </w:txbxContent>
                  </v:textbox>
                </v:shape>
                <v:shape id="Text Box 31" o:spid="_x0000_s1043" type="#_x0000_t202" style="position:absolute;left:36981;top:38092;width:14951;height:4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2B101C45" w14:textId="77777777" w:rsidR="00E202C8" w:rsidRDefault="00E202C8" w:rsidP="00A51164">
                        <w:pPr>
                          <w:pStyle w:val="NormalWeb"/>
                          <w:textAlignment w:val="baseline"/>
                        </w:pPr>
                        <w:r>
                          <w:rPr>
                            <w:rFonts w:ascii="Arial" w:hAnsi="Arial" w:cs="Arial"/>
                            <w:color w:val="0F4B98"/>
                            <w:kern w:val="24"/>
                            <w:sz w:val="20"/>
                            <w:szCs w:val="20"/>
                            <w:lang w:val="en-US"/>
                          </w:rPr>
                          <w:t>Spray drying</w:t>
                        </w:r>
                      </w:p>
                    </w:txbxContent>
                  </v:textbox>
                </v:shape>
                <v:shape id="AutoShape 33" o:spid="_x0000_s1044" type="#_x0000_t32" style="position:absolute;left:35270;top:41055;width:8;height:18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" strokecolor="#0f4b98"/>
                <v:shapetype id="_x0000_t125" coordsize="21600,21600" o:spt="125" path="m21600,21600l,21600,21600,,,xe">
                  <v:stroke joinstyle="miter"/>
                  <v:path o:extrusionok="f" gradientshapeok="t" o:connecttype="custom" o:connectlocs="10800,0;10800,10800;10800,21600" textboxrect="5400,5400,16200,16200"/>
                </v:shapetype>
                <v:shape id="AutoShape 32" o:spid="_x0000_s1045" type="#_x0000_t125" style="position:absolute;left:34008;top:37848;width:2524;height:32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" fillcolor="#0f4b98" strokecolor="#0f4b98"/>
                <v:shape id="Textfeld 1" o:spid="_x0000_s1046" type="#_x0000_t202" style="position:absolute;left:1795;top:10527;width:5040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7C899C64" w14:textId="77777777" w:rsidR="00E202C8" w:rsidRDefault="00E202C8" w:rsidP="00A51164">
                        <w:pPr>
                          <w:pStyle w:val="NormalWeb"/>
                          <w:tabs>
                            <w:tab w:val="left" w:pos="3675"/>
                          </w:tabs>
                          <w:textAlignment w:val="baseline"/>
                        </w:pPr>
                        <w:r>
                          <w:rPr>
                            <w:rFonts w:ascii="Arial" w:hAnsi="Arial" w:cs="Arial"/>
                            <w:color w:val="000000"/>
                            <w:kern w:val="24"/>
                            <w:sz w:val="28"/>
                            <w:szCs w:val="28"/>
                            <w:lang w:val="en-US"/>
                          </w:rPr>
                          <w:t xml:space="preserve">1) </w:t>
                        </w:r>
                        <w:r>
                          <w:rPr>
                            <w:rFonts w:ascii="Arial" w:hAnsi="Arial" w:cs="Arial"/>
                            <w:color w:val="000000"/>
                            <w:kern w:val="24"/>
                            <w:sz w:val="28"/>
                            <w:szCs w:val="28"/>
                            <w:u w:val="single"/>
                            <w:lang w:val="en-US"/>
                          </w:rPr>
                          <w:t>Fermentation process</w:t>
                        </w:r>
                        <w:r>
                          <w:rPr>
                            <w:rFonts w:ascii="Arial" w:hAnsi="Arial" w:cs="Arial"/>
                            <w:color w:val="000000"/>
                            <w:kern w:val="24"/>
                            <w:sz w:val="28"/>
                            <w:szCs w:val="28"/>
                            <w:lang w:val="en-US"/>
                          </w:rPr>
                          <w:t>:</w:t>
                        </w:r>
                        <w:r>
                          <w:rPr>
                            <w:rFonts w:ascii="Arial" w:hAnsi="Arial" w:cs="Arial"/>
                            <w:color w:val="000000"/>
                            <w:kern w:val="24"/>
                            <w:sz w:val="28"/>
                            <w:szCs w:val="28"/>
                            <w:lang w:val="en-US"/>
                          </w:rPr>
                          <w:tab/>
                          <w:t xml:space="preserve">2) </w:t>
                        </w:r>
                        <w:r>
                          <w:rPr>
                            <w:rFonts w:ascii="Arial" w:hAnsi="Arial" w:cs="Arial"/>
                            <w:color w:val="000000"/>
                            <w:kern w:val="24"/>
                            <w:sz w:val="28"/>
                            <w:szCs w:val="28"/>
                            <w:u w:val="single"/>
                            <w:lang w:val="en-US"/>
                          </w:rPr>
                          <w:t>Downstream process</w:t>
                        </w:r>
                        <w:r>
                          <w:rPr>
                            <w:rFonts w:ascii="Arial" w:hAnsi="Arial" w:cs="Arial"/>
                            <w:color w:val="000000"/>
                            <w:kern w:val="24"/>
                            <w:sz w:val="28"/>
                            <w:szCs w:val="28"/>
                            <w:lang w:val="en-US"/>
                          </w:rPr>
                          <w:t>:</w:t>
                        </w:r>
                      </w:p>
                    </w:txbxContent>
                  </v:textbox>
                </v:shape>
                <v:shape id="AutoShape 3" o:spid="_x0000_s1047" type="#_x0000_t109" style="position:absolute;left:28438;top:17008;width:19891;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" strokecolor="#0f4b98">
                  <v:textbox inset="0,,0">
                    <w:txbxContent>
                      <w:p w14:paraId="5C4AC4D9" w14:textId="77777777" w:rsidR="00E202C8" w:rsidRDefault="00E202C8" w:rsidP="00A51164">
                        <w:pPr>
                          <w:pStyle w:val="NormalWeb"/>
                          <w:jc w:val="center"/>
                          <w:textAlignment w:val="baseline"/>
                        </w:pPr>
                        <w:r>
                          <w:rPr>
                            <w:rFonts w:ascii="Arial" w:hAnsi="Arial" w:cs="Arial"/>
                            <w:color w:val="0F4B98"/>
                            <w:kern w:val="24"/>
                            <w:lang w:val="en-US"/>
                          </w:rPr>
                          <w:t>Fermentation broth</w:t>
                        </w:r>
                      </w:p>
                    </w:txbxContent>
                  </v:textbox>
                </v:shape>
                <v:shape id="AutoShape 32" o:spid="_x0000_s1048" type="#_x0000_t125" style="position:absolute;left:34008;top:32087;width:2524;height:32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" fillcolor="#0f4b98" strokecolor="#0f4b98"/>
                <v:shape id="AutoShape 32" o:spid="_x0000_s1049" type="#_x0000_t125" style="position:absolute;left:34008;top:22006;width:2524;height:32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" fillcolor="#0f4b98"/>
                <v:shape id="AutoShape 12" o:spid="_x0000_s1050" type="#_x0000_t32" style="position:absolute;left:35270;top:20608;width:8;height:13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" strokecolor="#0f4b98"/>
                <v:shape id="AutoShape 3" o:spid="_x0000_s1051" type="#_x0000_t109" style="position:absolute;left:4675;top:17008;width:13681;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" strokecolor="#0f4b98">
                  <v:textbox inset="0,,0">
                    <w:txbxContent>
                      <w:p w14:paraId="1FEE94C4" w14:textId="77777777" w:rsidR="00E202C8" w:rsidRDefault="00E202C8" w:rsidP="00A51164">
                        <w:pPr>
                          <w:pStyle w:val="NormalWeb"/>
                          <w:jc w:val="center"/>
                          <w:textAlignment w:val="baseline"/>
                        </w:pPr>
                        <w:r>
                          <w:rPr>
                            <w:rFonts w:ascii="Arial" w:hAnsi="Arial" w:cs="Arial"/>
                            <w:color w:val="0F4B98"/>
                            <w:kern w:val="24"/>
                            <w:lang w:val="en-US"/>
                          </w:rPr>
                          <w:t>Master cell bank</w:t>
                        </w:r>
                      </w:p>
                    </w:txbxContent>
                  </v:textbox>
                </v:shape>
                <v:shape id="AutoShape 3" o:spid="_x0000_s1052" type="#_x0000_t109" style="position:absolute;left:4675;top:23488;width:13681;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" strokecolor="#0f4b98">
                  <v:textbox inset="0,,0">
                    <w:txbxContent>
                      <w:p w14:paraId="5B527021" w14:textId="77777777" w:rsidR="00E202C8" w:rsidRDefault="00E202C8" w:rsidP="00A51164">
                        <w:pPr>
                          <w:pStyle w:val="NormalWeb"/>
                          <w:jc w:val="center"/>
                          <w:textAlignment w:val="baseline"/>
                        </w:pPr>
                        <w:r>
                          <w:rPr>
                            <w:rFonts w:ascii="Arial" w:hAnsi="Arial" w:cs="Arial"/>
                            <w:color w:val="0F4B98"/>
                            <w:kern w:val="24"/>
                            <w:lang w:val="en-US"/>
                          </w:rPr>
                          <w:t>Seed culture 1</w:t>
                        </w:r>
                      </w:p>
                    </w:txbxContent>
                  </v:textbox>
                </v:shape>
                <v:shape id="AutoShape 3" o:spid="_x0000_s1053" type="#_x0000_t109" style="position:absolute;left:4675;top:29969;width:13681;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" strokecolor="#0f4b98">
                  <v:textbox inset="0,,0">
                    <w:txbxContent>
                      <w:p w14:paraId="378DCA67" w14:textId="77777777" w:rsidR="00E202C8" w:rsidRDefault="00E202C8" w:rsidP="00A51164">
                        <w:pPr>
                          <w:pStyle w:val="NormalWeb"/>
                          <w:jc w:val="center"/>
                          <w:textAlignment w:val="baseline"/>
                        </w:pPr>
                        <w:r>
                          <w:rPr>
                            <w:rFonts w:ascii="Arial" w:hAnsi="Arial" w:cs="Arial"/>
                            <w:color w:val="0F4B98"/>
                            <w:kern w:val="24"/>
                            <w:lang w:val="en-US"/>
                          </w:rPr>
                          <w:t>Seed culture 2</w:t>
                        </w:r>
                      </w:p>
                    </w:txbxContent>
                  </v:textbox>
                </v:shape>
                <v:shape id="AutoShape 3" o:spid="_x0000_s1054" type="#_x0000_t109" style="position:absolute;left:4675;top:36450;width:13681;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" strokecolor="#0f4b98">
                  <v:textbox inset="0,,0">
                    <w:txbxContent>
                      <w:p w14:paraId="25C36187" w14:textId="77777777" w:rsidR="00E202C8" w:rsidRDefault="00E202C8" w:rsidP="00A51164">
                        <w:pPr>
                          <w:pStyle w:val="NormalWeb"/>
                          <w:jc w:val="center"/>
                          <w:textAlignment w:val="baseline"/>
                        </w:pPr>
                        <w:r>
                          <w:rPr>
                            <w:rFonts w:ascii="Arial" w:hAnsi="Arial" w:cs="Arial"/>
                            <w:color w:val="0F4B98"/>
                            <w:kern w:val="24"/>
                            <w:lang w:val="en-US"/>
                          </w:rPr>
                          <w:t>Seed culture 3</w:t>
                        </w:r>
                      </w:p>
                    </w:txbxContent>
                  </v:textbox>
                </v:shape>
                <v:shape id="AutoShape 3" o:spid="_x0000_s1055" type="#_x0000_t109" style="position:absolute;left:4675;top:42930;width:13681;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" strokecolor="#0f4b98">
                  <v:textbox inset="0,,0">
                    <w:txbxContent>
                      <w:p w14:paraId="1EF36D88" w14:textId="77777777" w:rsidR="00E202C8" w:rsidRDefault="00E202C8" w:rsidP="00A51164">
                        <w:pPr>
                          <w:pStyle w:val="NormalWeb"/>
                          <w:jc w:val="center"/>
                          <w:textAlignment w:val="baseline"/>
                        </w:pPr>
                        <w:r>
                          <w:rPr>
                            <w:rFonts w:ascii="Arial" w:hAnsi="Arial" w:cs="Arial"/>
                            <w:color w:val="0F4B98"/>
                            <w:kern w:val="24"/>
                            <w:lang w:val="en-US"/>
                          </w:rPr>
                          <w:t>Main culture</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40" o:spid="_x0000_s1056" type="#_x0000_t67" style="position:absolute;left:10436;top:20608;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" adj="10800" fillcolor="#0f4b98" strokecolor="#08356e" strokeweight="2pt"/>
                <v:shape id="Pfeil nach unten 41" o:spid="_x0000_s1057" type="#_x0000_t67" style="position:absolute;left:10436;top:27089;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" adj="10800" fillcolor="#0f4b98" strokecolor="#08356e" strokeweight="2pt"/>
                <v:shape id="Pfeil nach unten 42" o:spid="_x0000_s1058" type="#_x0000_t67" style="position:absolute;left:10436;top:33569;width:2160;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" adj="10800" fillcolor="#0f4b98" strokecolor="#08356e" strokeweight="2pt"/>
                <v:shape id="Pfeil nach unten 43" o:spid="_x0000_s1059" type="#_x0000_t67" style="position:absolute;left:10436;top:40050;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" adj="10800" fillcolor="#0f4b98" strokecolor="#08356e" strokeweight="2pt"/>
                <v:shape id="Pfeil nach unten 44" o:spid="_x0000_s1060" type="#_x0000_t67" style="position:absolute;left:49772;top:30689;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" adj="10800" fillcolor="#0f4b98" strokecolor="#08356e" strokeweight="2pt"/>
                <w10:anchorlock/>
              </v:group>
            </w:pict>
          </mc:Fallback>
        </mc:AlternateContent>
      </w:r>
    </w:p>
    <w:p w14:paraId="7963D840" w14:textId="77777777" w:rsidR="00A51164" w:rsidRDefault="00A51164" w:rsidP="00837AED">
      <w:pPr>
        <w:pStyle w:val="FSFigureTitle"/>
        <w:keepNext/>
        <w:keepLines/>
        <w:rPr>
          <w:b/>
        </w:rPr>
      </w:pPr>
    </w:p>
    <w:p w14:paraId="7A649C78" w14:textId="19B14037" w:rsidR="00837AED" w:rsidRDefault="00406EB2" w:rsidP="00837AED">
      <w:pPr>
        <w:pStyle w:val="FSFigureTitle"/>
        <w:keepNext/>
        <w:keepLines/>
      </w:pPr>
      <w:r w:rsidRPr="00343CDA">
        <w:rPr>
          <w:b/>
        </w:rPr>
        <w:t xml:space="preserve">Figure </w:t>
      </w:r>
      <w:r w:rsidRPr="00D45074">
        <w:rPr>
          <w:b/>
        </w:rPr>
        <w:fldChar w:fldCharType="begin"/>
      </w:r>
      <w:r w:rsidRPr="008D042B">
        <w:rPr>
          <w:b/>
        </w:rPr>
        <w:instrText xml:space="preserve"> SEQ Figure \* ARABIC </w:instrText>
      </w:r>
      <w:r w:rsidRPr="00D45074">
        <w:rPr>
          <w:b/>
        </w:rPr>
        <w:fldChar w:fldCharType="separate"/>
      </w:r>
      <w:r w:rsidR="00E202C8">
        <w:rPr>
          <w:b/>
          <w:noProof/>
        </w:rPr>
        <w:t>2</w:t>
      </w:r>
      <w:r w:rsidRPr="00D45074">
        <w:rPr>
          <w:b/>
        </w:rPr>
        <w:fldChar w:fldCharType="end"/>
      </w:r>
      <w:r w:rsidR="00837AED">
        <w:tab/>
        <w:t xml:space="preserve">Manufacturing process flow diagram for </w:t>
      </w:r>
      <w:r w:rsidR="00837AED">
        <w:rPr>
          <w:lang w:bidi="ar-SA"/>
        </w:rPr>
        <w:t>jelly mushroom glycolipids</w:t>
      </w:r>
      <w:r w:rsidR="00837AED" w:rsidRPr="00760956">
        <w:t xml:space="preserve"> </w:t>
      </w:r>
    </w:p>
    <w:p w14:paraId="3744FCAE" w14:textId="77777777" w:rsidR="00A51164" w:rsidRDefault="00A51164" w:rsidP="00024DAE"/>
    <w:p w14:paraId="33B31C6F" w14:textId="032C9D1A" w:rsidR="00D433BB" w:rsidRDefault="00534D37" w:rsidP="000D20BD">
      <w:pPr>
        <w:pStyle w:val="Heading2"/>
      </w:pPr>
      <w:bookmarkStart w:id="30" w:name="_Toc43217039"/>
      <w:bookmarkStart w:id="31" w:name="_Toc44401523"/>
      <w:bookmarkStart w:id="32" w:name="_Toc45284275"/>
      <w:bookmarkStart w:id="33" w:name="_Toc46929398"/>
      <w:r>
        <w:t>2.3</w:t>
      </w:r>
      <w:r w:rsidR="00797739">
        <w:tab/>
      </w:r>
      <w:r w:rsidR="000A0C50">
        <w:t>Purity</w:t>
      </w:r>
      <w:bookmarkEnd w:id="30"/>
      <w:bookmarkEnd w:id="31"/>
      <w:bookmarkEnd w:id="32"/>
      <w:bookmarkEnd w:id="33"/>
    </w:p>
    <w:p w14:paraId="0FEBEE47" w14:textId="77777777" w:rsidR="00FC4D96" w:rsidRDefault="0018574B" w:rsidP="00FC4D96">
      <w:pPr>
        <w:rPr>
          <w:lang w:eastAsia="en-AU"/>
        </w:rPr>
      </w:pPr>
      <w:r>
        <w:rPr>
          <w:lang w:eastAsia="en-AU"/>
        </w:rPr>
        <w:t xml:space="preserve">The following table outlines the purity profile of the AM-1 </w:t>
      </w:r>
      <w:r w:rsidR="001E618E">
        <w:rPr>
          <w:lang w:eastAsia="en-AU"/>
        </w:rPr>
        <w:t>and the analysis methods used</w:t>
      </w:r>
      <w:r w:rsidR="00C150CE">
        <w:rPr>
          <w:lang w:eastAsia="en-AU"/>
        </w:rPr>
        <w:t xml:space="preserve"> for each analytical parameter</w:t>
      </w:r>
      <w:r w:rsidR="001E618E">
        <w:rPr>
          <w:lang w:eastAsia="en-AU"/>
        </w:rPr>
        <w:t>.</w:t>
      </w:r>
    </w:p>
    <w:p w14:paraId="2BB3E850" w14:textId="77777777" w:rsidR="00FC4D96" w:rsidRDefault="00FC4D96" w:rsidP="00FC4D96">
      <w:pPr>
        <w:rPr>
          <w:lang w:eastAsia="en-AU"/>
        </w:rPr>
      </w:pPr>
    </w:p>
    <w:p w14:paraId="0214E2A3" w14:textId="415BE642" w:rsidR="001E618E" w:rsidRPr="00837AED" w:rsidRDefault="00FC4D96" w:rsidP="0024501B">
      <w:pPr>
        <w:rPr>
          <w:i/>
          <w:lang w:eastAsia="en-AU"/>
        </w:rPr>
      </w:pPr>
      <w:r w:rsidRPr="00837AED">
        <w:rPr>
          <w:b/>
          <w:i/>
        </w:rPr>
        <w:t xml:space="preserve">Table </w:t>
      </w:r>
      <w:r w:rsidRPr="00837AED">
        <w:rPr>
          <w:b/>
          <w:i/>
        </w:rPr>
        <w:fldChar w:fldCharType="begin"/>
      </w:r>
      <w:r w:rsidRPr="00837AED">
        <w:rPr>
          <w:b/>
          <w:i/>
        </w:rPr>
        <w:instrText xml:space="preserve"> SEQ Table \* ARABIC </w:instrText>
      </w:r>
      <w:r w:rsidRPr="00837AED">
        <w:rPr>
          <w:b/>
          <w:i/>
        </w:rPr>
        <w:fldChar w:fldCharType="separate"/>
      </w:r>
      <w:r w:rsidR="00E202C8">
        <w:rPr>
          <w:b/>
          <w:i/>
          <w:noProof/>
        </w:rPr>
        <w:t>2</w:t>
      </w:r>
      <w:r w:rsidRPr="00837AED">
        <w:rPr>
          <w:b/>
          <w:i/>
        </w:rPr>
        <w:fldChar w:fldCharType="end"/>
      </w:r>
      <w:r w:rsidR="00797739">
        <w:rPr>
          <w:i/>
        </w:rPr>
        <w:t xml:space="preserve">: </w:t>
      </w:r>
      <w:r w:rsidRPr="00837AED">
        <w:rPr>
          <w:i/>
        </w:rPr>
        <w:t xml:space="preserve">Purity profile of the </w:t>
      </w:r>
      <w:r w:rsidR="003445AA" w:rsidRPr="00837AED">
        <w:rPr>
          <w:i/>
          <w:lang w:bidi="ar-SA"/>
        </w:rPr>
        <w:t>jelly mushroom glycolipids</w:t>
      </w:r>
    </w:p>
    <w:p w14:paraId="1087260C" w14:textId="6CD6A8C1" w:rsidR="001E618E" w:rsidRDefault="001E618E" w:rsidP="0024501B">
      <w:pPr>
        <w:rPr>
          <w:lang w:eastAsia="en-AU"/>
        </w:rPr>
      </w:pPr>
      <w:r>
        <w:rPr>
          <w:lang w:eastAsia="en-AU"/>
        </w:rPr>
        <w:t xml:space="preserve"> </w:t>
      </w:r>
    </w:p>
    <w:tbl>
      <w:tblPr>
        <w:tblW w:w="4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828"/>
      </w:tblGrid>
      <w:tr w:rsidR="00FC4D96" w:rsidRPr="001E618E" w14:paraId="24456EC3" w14:textId="77777777" w:rsidTr="00FC4D96">
        <w:trPr>
          <w:tblHeader/>
          <w:jc w:val="center"/>
        </w:trPr>
        <w:tc>
          <w:tcPr>
            <w:tcW w:w="2500" w:type="pct"/>
          </w:tcPr>
          <w:p w14:paraId="5CEA3D0A" w14:textId="60F77D09" w:rsidR="00FC4D96" w:rsidRPr="001E618E" w:rsidRDefault="00FC4D96" w:rsidP="001E618E">
            <w:pPr>
              <w:rPr>
                <w:b/>
                <w:lang w:eastAsia="en-AU"/>
              </w:rPr>
            </w:pPr>
            <w:r w:rsidRPr="001E618E">
              <w:rPr>
                <w:b/>
                <w:lang w:eastAsia="en-AU"/>
              </w:rPr>
              <w:t xml:space="preserve">Analytical Parameter </w:t>
            </w:r>
          </w:p>
        </w:tc>
        <w:tc>
          <w:tcPr>
            <w:tcW w:w="2500" w:type="pct"/>
          </w:tcPr>
          <w:p w14:paraId="21349043" w14:textId="77777777" w:rsidR="00FC4D96" w:rsidRPr="001E618E" w:rsidRDefault="00FC4D96" w:rsidP="001E618E">
            <w:pPr>
              <w:rPr>
                <w:b/>
                <w:lang w:eastAsia="en-AU"/>
              </w:rPr>
            </w:pPr>
            <w:r w:rsidRPr="001E618E">
              <w:rPr>
                <w:b/>
                <w:lang w:eastAsia="en-AU"/>
              </w:rPr>
              <w:t xml:space="preserve">Acceptable Target/Range </w:t>
            </w:r>
          </w:p>
        </w:tc>
      </w:tr>
      <w:tr w:rsidR="00FC4D96" w:rsidRPr="001E618E" w14:paraId="1C0E5D3E" w14:textId="77777777" w:rsidTr="00FC4D96">
        <w:trPr>
          <w:jc w:val="center"/>
        </w:trPr>
        <w:tc>
          <w:tcPr>
            <w:tcW w:w="2500" w:type="pct"/>
          </w:tcPr>
          <w:p w14:paraId="13B91918" w14:textId="698137F7" w:rsidR="00FC4D96" w:rsidRPr="001E618E" w:rsidRDefault="00FC4D96" w:rsidP="001E618E">
            <w:pPr>
              <w:rPr>
                <w:lang w:eastAsia="en-AU"/>
              </w:rPr>
            </w:pPr>
            <w:r w:rsidRPr="001E618E">
              <w:rPr>
                <w:lang w:eastAsia="en-AU"/>
              </w:rPr>
              <w:t xml:space="preserve">pH value (1% in water) </w:t>
            </w:r>
          </w:p>
        </w:tc>
        <w:tc>
          <w:tcPr>
            <w:tcW w:w="2500" w:type="pct"/>
          </w:tcPr>
          <w:p w14:paraId="3F04611F" w14:textId="77777777" w:rsidR="00FC4D96" w:rsidRPr="001E618E" w:rsidRDefault="00FC4D96" w:rsidP="001E618E">
            <w:pPr>
              <w:rPr>
                <w:lang w:eastAsia="en-AU"/>
              </w:rPr>
            </w:pPr>
            <w:r w:rsidRPr="001E618E">
              <w:rPr>
                <w:lang w:eastAsia="en-AU"/>
              </w:rPr>
              <w:t xml:space="preserve">5.0 – 7.0 </w:t>
            </w:r>
          </w:p>
        </w:tc>
      </w:tr>
      <w:tr w:rsidR="00FC4D96" w:rsidRPr="001E618E" w14:paraId="3E2425B7" w14:textId="77777777" w:rsidTr="00FC4D96">
        <w:trPr>
          <w:jc w:val="center"/>
        </w:trPr>
        <w:tc>
          <w:tcPr>
            <w:tcW w:w="2500" w:type="pct"/>
          </w:tcPr>
          <w:p w14:paraId="6E1BE15F" w14:textId="239169A3" w:rsidR="00FC4D96" w:rsidRPr="001E618E" w:rsidRDefault="00FC4D96" w:rsidP="001E618E">
            <w:pPr>
              <w:rPr>
                <w:lang w:eastAsia="en-AU"/>
              </w:rPr>
            </w:pPr>
            <w:r w:rsidRPr="001E618E">
              <w:rPr>
                <w:lang w:eastAsia="en-AU"/>
              </w:rPr>
              <w:t xml:space="preserve">Water content </w:t>
            </w:r>
          </w:p>
        </w:tc>
        <w:tc>
          <w:tcPr>
            <w:tcW w:w="2500" w:type="pct"/>
          </w:tcPr>
          <w:p w14:paraId="3EA1EF26" w14:textId="77777777" w:rsidR="00FC4D96" w:rsidRPr="001E618E" w:rsidRDefault="00FC4D96" w:rsidP="001E618E">
            <w:pPr>
              <w:rPr>
                <w:lang w:eastAsia="en-AU"/>
              </w:rPr>
            </w:pPr>
            <w:r w:rsidRPr="001E618E">
              <w:rPr>
                <w:lang w:eastAsia="en-AU"/>
              </w:rPr>
              <w:t xml:space="preserve">&lt; 5.0% </w:t>
            </w:r>
          </w:p>
        </w:tc>
      </w:tr>
      <w:tr w:rsidR="00FC4D96" w:rsidRPr="001E618E" w14:paraId="3AFACB27" w14:textId="77777777" w:rsidTr="00FC4D96">
        <w:trPr>
          <w:jc w:val="center"/>
        </w:trPr>
        <w:tc>
          <w:tcPr>
            <w:tcW w:w="2500" w:type="pct"/>
          </w:tcPr>
          <w:p w14:paraId="0BC7BB5E" w14:textId="77777777" w:rsidR="00FC4D96" w:rsidRPr="001E618E" w:rsidRDefault="00FC4D96" w:rsidP="001E618E">
            <w:pPr>
              <w:rPr>
                <w:lang w:eastAsia="en-AU"/>
              </w:rPr>
            </w:pPr>
            <w:r w:rsidRPr="001E618E">
              <w:rPr>
                <w:lang w:eastAsia="en-AU"/>
              </w:rPr>
              <w:t xml:space="preserve">Total protein </w:t>
            </w:r>
          </w:p>
        </w:tc>
        <w:tc>
          <w:tcPr>
            <w:tcW w:w="2500" w:type="pct"/>
          </w:tcPr>
          <w:p w14:paraId="086BCF7B" w14:textId="77777777" w:rsidR="00FC4D96" w:rsidRPr="001E618E" w:rsidRDefault="00FC4D96" w:rsidP="001E618E">
            <w:pPr>
              <w:rPr>
                <w:lang w:eastAsia="en-AU"/>
              </w:rPr>
            </w:pPr>
            <w:r w:rsidRPr="001E618E">
              <w:rPr>
                <w:lang w:eastAsia="en-AU"/>
              </w:rPr>
              <w:t xml:space="preserve">&lt; 3.0% </w:t>
            </w:r>
          </w:p>
        </w:tc>
      </w:tr>
      <w:tr w:rsidR="00FC4D96" w:rsidRPr="001E618E" w14:paraId="1332FEFC" w14:textId="77777777" w:rsidTr="00FC4D96">
        <w:trPr>
          <w:jc w:val="center"/>
        </w:trPr>
        <w:tc>
          <w:tcPr>
            <w:tcW w:w="2500" w:type="pct"/>
          </w:tcPr>
          <w:p w14:paraId="42506492" w14:textId="7E162C29" w:rsidR="00FC4D96" w:rsidRPr="001E618E" w:rsidRDefault="00FC4D96" w:rsidP="001E618E">
            <w:pPr>
              <w:rPr>
                <w:lang w:eastAsia="en-AU"/>
              </w:rPr>
            </w:pPr>
            <w:r w:rsidRPr="001E618E">
              <w:rPr>
                <w:lang w:eastAsia="en-AU"/>
              </w:rPr>
              <w:t xml:space="preserve">Total fat </w:t>
            </w:r>
          </w:p>
        </w:tc>
        <w:tc>
          <w:tcPr>
            <w:tcW w:w="2500" w:type="pct"/>
          </w:tcPr>
          <w:p w14:paraId="212F00DE" w14:textId="77777777" w:rsidR="00FC4D96" w:rsidRPr="001E618E" w:rsidRDefault="00FC4D96" w:rsidP="001E618E">
            <w:pPr>
              <w:rPr>
                <w:lang w:eastAsia="en-AU"/>
              </w:rPr>
            </w:pPr>
            <w:r w:rsidRPr="001E618E">
              <w:rPr>
                <w:lang w:eastAsia="en-AU"/>
              </w:rPr>
              <w:t xml:space="preserve">&lt; 2.0% </w:t>
            </w:r>
          </w:p>
        </w:tc>
      </w:tr>
      <w:tr w:rsidR="00FC4D96" w:rsidRPr="001E618E" w14:paraId="443EEF56" w14:textId="77777777" w:rsidTr="00FC4D96">
        <w:trPr>
          <w:jc w:val="center"/>
        </w:trPr>
        <w:tc>
          <w:tcPr>
            <w:tcW w:w="2500" w:type="pct"/>
          </w:tcPr>
          <w:p w14:paraId="266CB814" w14:textId="7759B101" w:rsidR="00FC4D96" w:rsidRPr="001E618E" w:rsidRDefault="00FC4D96" w:rsidP="001E618E">
            <w:pPr>
              <w:rPr>
                <w:lang w:eastAsia="en-AU"/>
              </w:rPr>
            </w:pPr>
            <w:r w:rsidRPr="001E618E">
              <w:rPr>
                <w:lang w:eastAsia="en-AU"/>
              </w:rPr>
              <w:t xml:space="preserve">Sodium </w:t>
            </w:r>
          </w:p>
        </w:tc>
        <w:tc>
          <w:tcPr>
            <w:tcW w:w="2500" w:type="pct"/>
          </w:tcPr>
          <w:p w14:paraId="33DEA963" w14:textId="77777777" w:rsidR="00FC4D96" w:rsidRPr="001E618E" w:rsidRDefault="00FC4D96" w:rsidP="001E618E">
            <w:pPr>
              <w:rPr>
                <w:lang w:eastAsia="en-AU"/>
              </w:rPr>
            </w:pPr>
            <w:r w:rsidRPr="001E618E">
              <w:rPr>
                <w:lang w:eastAsia="en-AU"/>
              </w:rPr>
              <w:t xml:space="preserve">1.7 – 3.3% </w:t>
            </w:r>
          </w:p>
        </w:tc>
      </w:tr>
      <w:tr w:rsidR="00FC4D96" w:rsidRPr="001E618E" w14:paraId="14353C14" w14:textId="77777777" w:rsidTr="00FC4D96">
        <w:trPr>
          <w:jc w:val="center"/>
        </w:trPr>
        <w:tc>
          <w:tcPr>
            <w:tcW w:w="2500" w:type="pct"/>
          </w:tcPr>
          <w:p w14:paraId="3D70843F" w14:textId="77777777" w:rsidR="00FC4D96" w:rsidRPr="001E618E" w:rsidRDefault="00FC4D96" w:rsidP="001E618E">
            <w:pPr>
              <w:rPr>
                <w:lang w:eastAsia="en-AU"/>
              </w:rPr>
            </w:pPr>
            <w:r w:rsidRPr="001E618E">
              <w:rPr>
                <w:lang w:eastAsia="en-AU"/>
              </w:rPr>
              <w:t>Total glycolipids (dry weight basis, calc. as sodium salt)</w:t>
            </w:r>
          </w:p>
        </w:tc>
        <w:tc>
          <w:tcPr>
            <w:tcW w:w="2500" w:type="pct"/>
          </w:tcPr>
          <w:p w14:paraId="208E2960" w14:textId="77777777" w:rsidR="00FC4D96" w:rsidRPr="001E618E" w:rsidRDefault="00FC4D96" w:rsidP="001E618E">
            <w:pPr>
              <w:rPr>
                <w:lang w:eastAsia="en-AU"/>
              </w:rPr>
            </w:pPr>
            <w:r w:rsidRPr="001E618E">
              <w:rPr>
                <w:lang w:eastAsia="en-AU"/>
              </w:rPr>
              <w:t xml:space="preserve">≥ 93.0% </w:t>
            </w:r>
          </w:p>
        </w:tc>
      </w:tr>
      <w:tr w:rsidR="00FC4D96" w:rsidRPr="001E618E" w14:paraId="372886ED" w14:textId="77777777" w:rsidTr="00FC4D96">
        <w:trPr>
          <w:jc w:val="center"/>
        </w:trPr>
        <w:tc>
          <w:tcPr>
            <w:tcW w:w="2500" w:type="pct"/>
          </w:tcPr>
          <w:p w14:paraId="01833595" w14:textId="77777777" w:rsidR="00FC4D96" w:rsidRPr="001E618E" w:rsidRDefault="00FC4D96" w:rsidP="001E618E">
            <w:pPr>
              <w:rPr>
                <w:lang w:eastAsia="en-AU"/>
              </w:rPr>
            </w:pPr>
            <w:r w:rsidRPr="001E618E">
              <w:rPr>
                <w:lang w:eastAsia="en-AU"/>
              </w:rPr>
              <w:t>Heavy metals</w:t>
            </w:r>
          </w:p>
        </w:tc>
        <w:tc>
          <w:tcPr>
            <w:tcW w:w="2500" w:type="pct"/>
          </w:tcPr>
          <w:p w14:paraId="1F1ABA38" w14:textId="74E68511" w:rsidR="00FC4D96" w:rsidRDefault="00FC4D96" w:rsidP="001E618E">
            <w:pPr>
              <w:rPr>
                <w:lang w:eastAsia="en-AU"/>
              </w:rPr>
            </w:pPr>
            <w:r w:rsidRPr="001E618E">
              <w:rPr>
                <w:lang w:eastAsia="en-AU"/>
              </w:rPr>
              <w:t xml:space="preserve">&lt; 1 </w:t>
            </w:r>
            <w:r>
              <w:rPr>
                <w:lang w:eastAsia="en-AU"/>
              </w:rPr>
              <w:t>mg/kg</w:t>
            </w:r>
            <w:r w:rsidRPr="001E618E">
              <w:rPr>
                <w:lang w:eastAsia="en-AU"/>
              </w:rPr>
              <w:t xml:space="preserve"> As</w:t>
            </w:r>
          </w:p>
          <w:p w14:paraId="7FCEFEA1" w14:textId="20D1D3B9" w:rsidR="00FC4D96" w:rsidRDefault="00FC4D96" w:rsidP="001E618E">
            <w:pPr>
              <w:rPr>
                <w:lang w:eastAsia="en-AU"/>
              </w:rPr>
            </w:pPr>
            <w:r>
              <w:rPr>
                <w:lang w:eastAsia="en-AU"/>
              </w:rPr>
              <w:t>&lt; 1 mg/kg</w:t>
            </w:r>
            <w:r w:rsidRPr="001E618E">
              <w:rPr>
                <w:lang w:eastAsia="en-AU"/>
              </w:rPr>
              <w:t xml:space="preserve"> Cd </w:t>
            </w:r>
          </w:p>
          <w:p w14:paraId="21AB5306" w14:textId="5F00127B" w:rsidR="00FC4D96" w:rsidRPr="001E618E" w:rsidRDefault="00FC4D96" w:rsidP="001E618E">
            <w:pPr>
              <w:rPr>
                <w:lang w:eastAsia="en-AU"/>
              </w:rPr>
            </w:pPr>
            <w:r>
              <w:rPr>
                <w:lang w:eastAsia="en-AU"/>
              </w:rPr>
              <w:t>&lt; 1 mg/kg</w:t>
            </w:r>
            <w:r w:rsidRPr="001E618E">
              <w:rPr>
                <w:lang w:eastAsia="en-AU"/>
              </w:rPr>
              <w:t xml:space="preserve"> Hg </w:t>
            </w:r>
          </w:p>
          <w:p w14:paraId="6C2D8B0E" w14:textId="35189B3E" w:rsidR="00FC4D96" w:rsidRDefault="00FC4D96" w:rsidP="00EC368E">
            <w:pPr>
              <w:rPr>
                <w:lang w:eastAsia="en-AU"/>
              </w:rPr>
            </w:pPr>
            <w:r w:rsidRPr="001E618E">
              <w:rPr>
                <w:lang w:eastAsia="en-AU"/>
              </w:rPr>
              <w:t xml:space="preserve">&lt; 2 </w:t>
            </w:r>
            <w:r>
              <w:rPr>
                <w:lang w:eastAsia="en-AU"/>
              </w:rPr>
              <w:t>mg/kg</w:t>
            </w:r>
            <w:r w:rsidRPr="001E618E">
              <w:rPr>
                <w:lang w:eastAsia="en-AU"/>
              </w:rPr>
              <w:t xml:space="preserve"> Ni </w:t>
            </w:r>
          </w:p>
          <w:p w14:paraId="449CC201" w14:textId="20791303" w:rsidR="00FC4D96" w:rsidRPr="001E618E" w:rsidRDefault="00FC4D96" w:rsidP="00EC368E">
            <w:pPr>
              <w:rPr>
                <w:lang w:eastAsia="en-AU"/>
              </w:rPr>
            </w:pPr>
            <w:r>
              <w:rPr>
                <w:lang w:eastAsia="en-AU"/>
              </w:rPr>
              <w:t>&lt; 2 mg/kg</w:t>
            </w:r>
            <w:r w:rsidRPr="001E618E">
              <w:rPr>
                <w:lang w:eastAsia="en-AU"/>
              </w:rPr>
              <w:t xml:space="preserve"> Pb</w:t>
            </w:r>
          </w:p>
        </w:tc>
      </w:tr>
      <w:tr w:rsidR="00FC4D96" w:rsidRPr="001E618E" w14:paraId="40688DE3" w14:textId="77777777" w:rsidTr="00FC4D96">
        <w:trPr>
          <w:jc w:val="center"/>
        </w:trPr>
        <w:tc>
          <w:tcPr>
            <w:tcW w:w="2500" w:type="pct"/>
          </w:tcPr>
          <w:p w14:paraId="28CCF0D0" w14:textId="77777777" w:rsidR="00FC4D96" w:rsidRPr="001E618E" w:rsidRDefault="00FC4D96" w:rsidP="001E618E">
            <w:pPr>
              <w:rPr>
                <w:lang w:eastAsia="en-AU"/>
              </w:rPr>
            </w:pPr>
            <w:r w:rsidRPr="001E618E">
              <w:rPr>
                <w:lang w:eastAsia="en-AU"/>
              </w:rPr>
              <w:t xml:space="preserve">TAMC (total aerial microbial count) </w:t>
            </w:r>
          </w:p>
        </w:tc>
        <w:tc>
          <w:tcPr>
            <w:tcW w:w="2500" w:type="pct"/>
          </w:tcPr>
          <w:p w14:paraId="593F36AD" w14:textId="77777777" w:rsidR="00FC4D96" w:rsidRPr="001E618E" w:rsidRDefault="00FC4D96" w:rsidP="001E618E">
            <w:pPr>
              <w:rPr>
                <w:lang w:eastAsia="en-AU"/>
              </w:rPr>
            </w:pPr>
            <w:r w:rsidRPr="001E618E">
              <w:rPr>
                <w:lang w:eastAsia="en-AU"/>
              </w:rPr>
              <w:t xml:space="preserve">≤100 CFU/g </w:t>
            </w:r>
          </w:p>
        </w:tc>
      </w:tr>
      <w:tr w:rsidR="00FC4D96" w:rsidRPr="001E618E" w14:paraId="3D46B1EE" w14:textId="77777777" w:rsidTr="00FC4D96">
        <w:trPr>
          <w:jc w:val="center"/>
        </w:trPr>
        <w:tc>
          <w:tcPr>
            <w:tcW w:w="2500" w:type="pct"/>
          </w:tcPr>
          <w:p w14:paraId="06181210" w14:textId="77777777" w:rsidR="00FC4D96" w:rsidRPr="001E618E" w:rsidRDefault="00FC4D96" w:rsidP="001E618E">
            <w:pPr>
              <w:rPr>
                <w:lang w:eastAsia="en-AU"/>
              </w:rPr>
            </w:pPr>
            <w:r w:rsidRPr="001E618E">
              <w:rPr>
                <w:lang w:eastAsia="en-AU"/>
              </w:rPr>
              <w:t xml:space="preserve">TYMC (total yeast/mould count) </w:t>
            </w:r>
          </w:p>
        </w:tc>
        <w:tc>
          <w:tcPr>
            <w:tcW w:w="2500" w:type="pct"/>
          </w:tcPr>
          <w:p w14:paraId="6479A60F" w14:textId="77777777" w:rsidR="00FC4D96" w:rsidRPr="001E618E" w:rsidRDefault="00FC4D96" w:rsidP="001E618E">
            <w:pPr>
              <w:rPr>
                <w:lang w:eastAsia="en-AU"/>
              </w:rPr>
            </w:pPr>
            <w:r w:rsidRPr="001E618E">
              <w:rPr>
                <w:lang w:eastAsia="en-AU"/>
              </w:rPr>
              <w:t xml:space="preserve">≤10 CFU/g </w:t>
            </w:r>
          </w:p>
        </w:tc>
      </w:tr>
      <w:tr w:rsidR="00FC4D96" w:rsidRPr="001E618E" w14:paraId="67D1E02F" w14:textId="77777777" w:rsidTr="00FC4D96">
        <w:trPr>
          <w:jc w:val="center"/>
        </w:trPr>
        <w:tc>
          <w:tcPr>
            <w:tcW w:w="2500" w:type="pct"/>
          </w:tcPr>
          <w:p w14:paraId="5C24D38C" w14:textId="3BA2B6CD" w:rsidR="00FC4D96" w:rsidRPr="001E618E" w:rsidRDefault="00FC4D96" w:rsidP="001E618E">
            <w:pPr>
              <w:rPr>
                <w:lang w:eastAsia="en-AU"/>
              </w:rPr>
            </w:pPr>
            <w:r w:rsidRPr="001E618E">
              <w:rPr>
                <w:lang w:eastAsia="en-AU"/>
              </w:rPr>
              <w:t xml:space="preserve">Coliforms </w:t>
            </w:r>
          </w:p>
        </w:tc>
        <w:tc>
          <w:tcPr>
            <w:tcW w:w="2500" w:type="pct"/>
          </w:tcPr>
          <w:p w14:paraId="0BD484C5" w14:textId="5C9611B3" w:rsidR="00FC4D96" w:rsidRPr="001E618E" w:rsidRDefault="00FC4D96" w:rsidP="001E618E">
            <w:pPr>
              <w:rPr>
                <w:lang w:eastAsia="en-AU"/>
              </w:rPr>
            </w:pPr>
            <w:r w:rsidRPr="001E618E">
              <w:rPr>
                <w:lang w:eastAsia="en-AU"/>
              </w:rPr>
              <w:t>≤ 3</w:t>
            </w:r>
            <w:r w:rsidR="00611043">
              <w:rPr>
                <w:lang w:eastAsia="en-AU"/>
              </w:rPr>
              <w:t xml:space="preserve"> </w:t>
            </w:r>
            <w:r w:rsidRPr="001E618E">
              <w:rPr>
                <w:lang w:eastAsia="en-AU"/>
              </w:rPr>
              <w:t>MPN/g</w:t>
            </w:r>
          </w:p>
        </w:tc>
      </w:tr>
      <w:tr w:rsidR="00FC4D96" w:rsidRPr="001E618E" w14:paraId="1380BF91" w14:textId="77777777" w:rsidTr="00FC4D96">
        <w:trPr>
          <w:jc w:val="center"/>
        </w:trPr>
        <w:tc>
          <w:tcPr>
            <w:tcW w:w="2500" w:type="pct"/>
          </w:tcPr>
          <w:p w14:paraId="799266C7" w14:textId="0A614D79" w:rsidR="00FC4D96" w:rsidRPr="001E618E" w:rsidRDefault="00FC4D96" w:rsidP="001E618E">
            <w:pPr>
              <w:rPr>
                <w:i/>
                <w:iCs/>
                <w:lang w:eastAsia="en-AU"/>
              </w:rPr>
            </w:pPr>
            <w:r w:rsidRPr="001E618E">
              <w:rPr>
                <w:i/>
                <w:iCs/>
                <w:lang w:eastAsia="en-AU"/>
              </w:rPr>
              <w:t xml:space="preserve">Escherichia coli </w:t>
            </w:r>
          </w:p>
        </w:tc>
        <w:tc>
          <w:tcPr>
            <w:tcW w:w="2500" w:type="pct"/>
          </w:tcPr>
          <w:p w14:paraId="007DDC3B" w14:textId="42C2BB9E" w:rsidR="00FC4D96" w:rsidRPr="001E618E" w:rsidRDefault="00FC4D96" w:rsidP="001E618E">
            <w:pPr>
              <w:rPr>
                <w:lang w:eastAsia="en-AU"/>
              </w:rPr>
            </w:pPr>
            <w:r w:rsidRPr="001E618E">
              <w:rPr>
                <w:lang w:eastAsia="en-AU"/>
              </w:rPr>
              <w:t>≤ 3</w:t>
            </w:r>
            <w:r w:rsidR="00611043">
              <w:rPr>
                <w:lang w:eastAsia="en-AU"/>
              </w:rPr>
              <w:t xml:space="preserve"> </w:t>
            </w:r>
            <w:r w:rsidRPr="001E618E">
              <w:rPr>
                <w:lang w:eastAsia="en-AU"/>
              </w:rPr>
              <w:t>MPN/g</w:t>
            </w:r>
          </w:p>
        </w:tc>
      </w:tr>
      <w:tr w:rsidR="00FC4D96" w:rsidRPr="001E618E" w14:paraId="799620F4" w14:textId="77777777" w:rsidTr="00FC4D96">
        <w:trPr>
          <w:jc w:val="center"/>
        </w:trPr>
        <w:tc>
          <w:tcPr>
            <w:tcW w:w="2500" w:type="pct"/>
          </w:tcPr>
          <w:p w14:paraId="4D41D9D8" w14:textId="5A39155E" w:rsidR="00FC4D96" w:rsidRPr="001E618E" w:rsidRDefault="00FC4D96" w:rsidP="001E618E">
            <w:pPr>
              <w:rPr>
                <w:i/>
                <w:iCs/>
                <w:lang w:eastAsia="en-AU"/>
              </w:rPr>
            </w:pPr>
            <w:r w:rsidRPr="001E618E">
              <w:rPr>
                <w:i/>
                <w:iCs/>
                <w:lang w:eastAsia="en-AU"/>
              </w:rPr>
              <w:t xml:space="preserve">Salmonella </w:t>
            </w:r>
            <w:r w:rsidRPr="00E61AB6">
              <w:rPr>
                <w:iCs/>
                <w:lang w:eastAsia="en-AU"/>
              </w:rPr>
              <w:t>spec</w:t>
            </w:r>
            <w:r w:rsidR="000F4DBF" w:rsidRPr="00E61AB6">
              <w:rPr>
                <w:iCs/>
                <w:lang w:eastAsia="en-AU"/>
              </w:rPr>
              <w:t>ies</w:t>
            </w:r>
          </w:p>
        </w:tc>
        <w:tc>
          <w:tcPr>
            <w:tcW w:w="2500" w:type="pct"/>
          </w:tcPr>
          <w:p w14:paraId="724F07D6" w14:textId="22C39EE5" w:rsidR="00FC4D96" w:rsidRPr="001E618E" w:rsidRDefault="00FC4D96" w:rsidP="001E618E">
            <w:pPr>
              <w:rPr>
                <w:lang w:eastAsia="en-AU"/>
              </w:rPr>
            </w:pPr>
            <w:r w:rsidRPr="001E618E">
              <w:rPr>
                <w:lang w:eastAsia="en-AU"/>
              </w:rPr>
              <w:t xml:space="preserve">absent in 25 g </w:t>
            </w:r>
          </w:p>
        </w:tc>
      </w:tr>
    </w:tbl>
    <w:p w14:paraId="43F16F74" w14:textId="2F381444" w:rsidR="001E618E" w:rsidRDefault="001E618E" w:rsidP="000D20BD">
      <w:pPr>
        <w:pStyle w:val="Heading2"/>
      </w:pPr>
    </w:p>
    <w:p w14:paraId="156E4062" w14:textId="77777777" w:rsidR="00B30CEA" w:rsidRPr="00B30CEA" w:rsidRDefault="00B30CEA" w:rsidP="00B30CEA">
      <w:pPr>
        <w:rPr>
          <w:lang w:eastAsia="en-AU" w:bidi="ar-SA"/>
        </w:rPr>
      </w:pPr>
      <w:bookmarkStart w:id="34" w:name="_Toc43217040"/>
      <w:bookmarkStart w:id="35" w:name="_Toc44401524"/>
    </w:p>
    <w:p w14:paraId="33127A09" w14:textId="326669ED" w:rsidR="00EC368E" w:rsidRDefault="00EC368E" w:rsidP="000D20BD">
      <w:pPr>
        <w:pStyle w:val="Heading2"/>
      </w:pPr>
      <w:bookmarkStart w:id="36" w:name="_Toc45284276"/>
      <w:bookmarkStart w:id="37" w:name="_Toc46929399"/>
      <w:r>
        <w:t>2.4</w:t>
      </w:r>
      <w:r w:rsidR="00797739">
        <w:tab/>
      </w:r>
      <w:r w:rsidRPr="00EC368E">
        <w:t>Stability</w:t>
      </w:r>
      <w:bookmarkEnd w:id="34"/>
      <w:bookmarkEnd w:id="35"/>
      <w:bookmarkEnd w:id="36"/>
      <w:bookmarkEnd w:id="37"/>
    </w:p>
    <w:p w14:paraId="0BD91DD4" w14:textId="39761E91" w:rsidR="00250F03" w:rsidRDefault="00250F03" w:rsidP="0024501B">
      <w:pPr>
        <w:rPr>
          <w:lang w:eastAsia="en-AU"/>
        </w:rPr>
      </w:pPr>
      <w:r>
        <w:rPr>
          <w:lang w:eastAsia="en-AU"/>
        </w:rPr>
        <w:t>When stored in dry powder form at 40</w:t>
      </w:r>
      <w:r w:rsidRPr="00250F03">
        <w:rPr>
          <w:lang w:eastAsia="en-AU"/>
        </w:rPr>
        <w:t>°C</w:t>
      </w:r>
      <w:r>
        <w:rPr>
          <w:lang w:eastAsia="en-AU"/>
        </w:rPr>
        <w:t xml:space="preserve"> and below in a closed container</w:t>
      </w:r>
      <w:r w:rsidR="00D8428A">
        <w:rPr>
          <w:lang w:eastAsia="en-AU"/>
        </w:rPr>
        <w:t>,</w:t>
      </w:r>
      <w:r>
        <w:rPr>
          <w:lang w:eastAsia="en-AU"/>
        </w:rPr>
        <w:t xml:space="preserve"> AM-1 has been shown to be stable for at least three years</w:t>
      </w:r>
      <w:r w:rsidR="00797739">
        <w:rPr>
          <w:lang w:eastAsia="en-AU"/>
        </w:rPr>
        <w:t xml:space="preserve"> </w:t>
      </w:r>
      <w:r w:rsidR="00E5412E">
        <w:rPr>
          <w:lang w:eastAsia="en-AU"/>
        </w:rPr>
        <w:t>(Bitzer, 2016)</w:t>
      </w:r>
      <w:r w:rsidR="00752AB9">
        <w:rPr>
          <w:lang w:eastAsia="en-AU"/>
        </w:rPr>
        <w:t>.</w:t>
      </w:r>
      <w:r w:rsidR="00E5412E">
        <w:rPr>
          <w:lang w:eastAsia="en-AU"/>
        </w:rPr>
        <w:t xml:space="preserve"> </w:t>
      </w:r>
      <w:r>
        <w:rPr>
          <w:lang w:eastAsia="en-AU"/>
        </w:rPr>
        <w:t xml:space="preserve">When stored in an aqueous solution, AM-1 is stable at room temperature for at least six months. There is a minor level (&lt;5%) of hydrolysis that occurs to </w:t>
      </w:r>
      <w:r w:rsidR="00AB2E2D">
        <w:rPr>
          <w:lang w:eastAsia="en-AU"/>
        </w:rPr>
        <w:t xml:space="preserve">AM-1. </w:t>
      </w:r>
      <w:r w:rsidR="005E205D">
        <w:rPr>
          <w:lang w:eastAsia="en-AU"/>
        </w:rPr>
        <w:t>The antimicrobial effects of AM-1 do not appear to be impacted by hydrolysis</w:t>
      </w:r>
      <w:r w:rsidR="00E5412E">
        <w:rPr>
          <w:lang w:eastAsia="en-AU"/>
        </w:rPr>
        <w:t xml:space="preserve"> (Lanxess, 2018)</w:t>
      </w:r>
      <w:r w:rsidR="005E205D">
        <w:rPr>
          <w:lang w:eastAsia="en-AU"/>
        </w:rPr>
        <w:t>.</w:t>
      </w:r>
    </w:p>
    <w:p w14:paraId="259E4D14" w14:textId="778BE504" w:rsidR="005E205D" w:rsidRDefault="005E205D" w:rsidP="0024501B">
      <w:pPr>
        <w:rPr>
          <w:lang w:eastAsia="en-AU"/>
        </w:rPr>
      </w:pPr>
    </w:p>
    <w:p w14:paraId="271BC81F" w14:textId="0C9C498F" w:rsidR="00C6311F" w:rsidRDefault="00C150CE" w:rsidP="0024501B">
      <w:pPr>
        <w:rPr>
          <w:lang w:eastAsia="en-AU"/>
        </w:rPr>
      </w:pPr>
      <w:r>
        <w:rPr>
          <w:lang w:eastAsia="en-AU"/>
        </w:rPr>
        <w:t>The glycolipid mixture AM-1 was tested in 110 varying commercial beverages including carbonated soft drinks, fruit drinks, enhanced waters, sports drinks, energy drinks, syrups and ready to drink tea. Beverages were stored for 3 months at ambient temperature</w:t>
      </w:r>
      <w:r w:rsidR="00862CC8">
        <w:rPr>
          <w:lang w:eastAsia="en-AU"/>
        </w:rPr>
        <w:t xml:space="preserve">. It was found </w:t>
      </w:r>
      <w:r w:rsidR="0054330A">
        <w:rPr>
          <w:lang w:eastAsia="en-AU"/>
        </w:rPr>
        <w:t xml:space="preserve">through high performance liquid chromatography-mass spectrometry </w:t>
      </w:r>
      <w:r w:rsidR="008E2559">
        <w:rPr>
          <w:lang w:eastAsia="en-AU"/>
        </w:rPr>
        <w:t xml:space="preserve">(HPLC-MS) </w:t>
      </w:r>
      <w:r w:rsidR="0054330A">
        <w:rPr>
          <w:lang w:eastAsia="en-AU"/>
        </w:rPr>
        <w:t>analysis</w:t>
      </w:r>
      <w:r w:rsidR="00862CC8">
        <w:rPr>
          <w:lang w:eastAsia="en-AU"/>
        </w:rPr>
        <w:t xml:space="preserve"> there was no degradation of the glycolipids to their principal components of glucose, xylose and long-chain fatty acids in any beverage</w:t>
      </w:r>
      <w:r w:rsidR="00752AB9">
        <w:rPr>
          <w:lang w:eastAsia="en-AU"/>
        </w:rPr>
        <w:t xml:space="preserve"> (Lanxess, 2018)</w:t>
      </w:r>
      <w:r w:rsidR="00862CC8">
        <w:rPr>
          <w:lang w:eastAsia="en-AU"/>
        </w:rPr>
        <w:t>.</w:t>
      </w:r>
    </w:p>
    <w:p w14:paraId="749C11B5" w14:textId="77777777" w:rsidR="00C6311F" w:rsidRDefault="00C6311F" w:rsidP="0024501B">
      <w:pPr>
        <w:rPr>
          <w:lang w:eastAsia="en-AU"/>
        </w:rPr>
      </w:pPr>
    </w:p>
    <w:p w14:paraId="52620BCE" w14:textId="289C6E5E" w:rsidR="00025FF5" w:rsidRDefault="00862CC8" w:rsidP="00690206">
      <w:pPr>
        <w:rPr>
          <w:lang w:eastAsia="en-AU"/>
        </w:rPr>
      </w:pPr>
      <w:r>
        <w:rPr>
          <w:lang w:eastAsia="en-AU"/>
        </w:rPr>
        <w:t>The acidity</w:t>
      </w:r>
      <w:r w:rsidR="00C6311F">
        <w:rPr>
          <w:lang w:eastAsia="en-AU"/>
        </w:rPr>
        <w:t xml:space="preserve"> (pH)</w:t>
      </w:r>
      <w:r>
        <w:rPr>
          <w:lang w:eastAsia="en-AU"/>
        </w:rPr>
        <w:t xml:space="preserve"> level of beverages was found to influence</w:t>
      </w:r>
      <w:r w:rsidR="0054330A">
        <w:rPr>
          <w:lang w:eastAsia="en-AU"/>
        </w:rPr>
        <w:t xml:space="preserve"> some degree of hydrolysis </w:t>
      </w:r>
      <w:r w:rsidR="00C6311F">
        <w:rPr>
          <w:lang w:eastAsia="en-AU"/>
        </w:rPr>
        <w:t>similar to the previously mentioned storage of AM-1 in an aqueous solution</w:t>
      </w:r>
      <w:r w:rsidR="00752AB9">
        <w:rPr>
          <w:lang w:eastAsia="en-AU"/>
        </w:rPr>
        <w:t xml:space="preserve"> (Lanxess, 2018)</w:t>
      </w:r>
      <w:r w:rsidR="00C6311F">
        <w:rPr>
          <w:lang w:eastAsia="en-AU"/>
        </w:rPr>
        <w:t>. Lower pH values</w:t>
      </w:r>
      <w:r w:rsidR="00ED1980">
        <w:rPr>
          <w:lang w:eastAsia="en-AU"/>
        </w:rPr>
        <w:t xml:space="preserve"> </w:t>
      </w:r>
      <w:r w:rsidR="00C6311F">
        <w:rPr>
          <w:lang w:eastAsia="en-AU"/>
        </w:rPr>
        <w:t>of beverages</w:t>
      </w:r>
      <w:r w:rsidR="00ED1980">
        <w:rPr>
          <w:lang w:eastAsia="en-AU"/>
        </w:rPr>
        <w:t xml:space="preserve"> (&lt;3 pH) </w:t>
      </w:r>
      <w:r w:rsidR="00C6311F">
        <w:rPr>
          <w:lang w:eastAsia="en-AU"/>
        </w:rPr>
        <w:t>were found to result in greater levels of hydrolysis resulting in a higher ratio of decaylated glycol</w:t>
      </w:r>
      <w:r w:rsidR="0050167D">
        <w:rPr>
          <w:lang w:eastAsia="en-AU"/>
        </w:rPr>
        <w:t>ipids present in the beverages.</w:t>
      </w:r>
      <w:r w:rsidR="00ED1980" w:rsidRPr="00ED1980">
        <w:t xml:space="preserve"> </w:t>
      </w:r>
      <w:r w:rsidR="00ED1980">
        <w:rPr>
          <w:lang w:eastAsia="en-AU"/>
        </w:rPr>
        <w:t>B</w:t>
      </w:r>
      <w:r w:rsidR="00ED1980" w:rsidRPr="00ED1980">
        <w:rPr>
          <w:lang w:eastAsia="en-AU"/>
        </w:rPr>
        <w:t>everages with</w:t>
      </w:r>
      <w:r w:rsidR="00ED1980">
        <w:rPr>
          <w:lang w:eastAsia="en-AU"/>
        </w:rPr>
        <w:t xml:space="preserve"> a</w:t>
      </w:r>
      <w:r w:rsidR="00ED1980" w:rsidRPr="00ED1980">
        <w:rPr>
          <w:lang w:eastAsia="en-AU"/>
        </w:rPr>
        <w:t xml:space="preserve"> pH &gt;3.5 showed only low degrees of hydrolysis.</w:t>
      </w:r>
    </w:p>
    <w:p w14:paraId="5CE6E1FA" w14:textId="268D0C3C" w:rsidR="0024501B" w:rsidRDefault="00827926" w:rsidP="000D20BD">
      <w:pPr>
        <w:pStyle w:val="Heading2"/>
      </w:pPr>
      <w:bookmarkStart w:id="38" w:name="_Toc43217041"/>
      <w:bookmarkStart w:id="39" w:name="_Toc44401525"/>
      <w:bookmarkStart w:id="40" w:name="_Toc45284277"/>
      <w:bookmarkStart w:id="41" w:name="_Toc46929400"/>
      <w:r>
        <w:t>2.</w:t>
      </w:r>
      <w:r w:rsidR="006D7405">
        <w:t>5</w:t>
      </w:r>
      <w:r w:rsidR="00797739">
        <w:tab/>
      </w:r>
      <w:r w:rsidR="0024501B">
        <w:t>Technological function</w:t>
      </w:r>
      <w:bookmarkEnd w:id="38"/>
      <w:bookmarkEnd w:id="39"/>
      <w:bookmarkEnd w:id="40"/>
      <w:bookmarkEnd w:id="41"/>
    </w:p>
    <w:p w14:paraId="1F4B1CBD" w14:textId="7FA0C204" w:rsidR="000A0C50" w:rsidRDefault="0018574B" w:rsidP="000A0C50">
      <w:r>
        <w:t xml:space="preserve">The </w:t>
      </w:r>
      <w:r w:rsidR="003445AA">
        <w:rPr>
          <w:lang w:bidi="ar-SA"/>
        </w:rPr>
        <w:t>jelly mushroom glycolipids</w:t>
      </w:r>
      <w:r w:rsidR="003445AA">
        <w:t xml:space="preserve"> </w:t>
      </w:r>
      <w:r w:rsidR="00D7122C">
        <w:t xml:space="preserve">are </w:t>
      </w:r>
      <w:r w:rsidR="00CA7A5A">
        <w:t xml:space="preserve">intended to be </w:t>
      </w:r>
      <w:r w:rsidR="000A0C50">
        <w:t xml:space="preserve">used as preservative to prevent microbial spoilage in </w:t>
      </w:r>
      <w:r w:rsidR="00A978C2" w:rsidRPr="00A978C2">
        <w:t xml:space="preserve">non-alcoholic </w:t>
      </w:r>
      <w:r w:rsidR="000A0C50">
        <w:t xml:space="preserve">beverages. </w:t>
      </w:r>
      <w:r w:rsidR="00CA7A5A">
        <w:t>It is to</w:t>
      </w:r>
      <w:r w:rsidR="000A0C50">
        <w:t xml:space="preserve"> be added to beverages immediately prior to packaging, in a similar manner to existing preservatives</w:t>
      </w:r>
      <w:r w:rsidR="00CA7A5A">
        <w:t xml:space="preserve">. </w:t>
      </w:r>
    </w:p>
    <w:p w14:paraId="258FF16B" w14:textId="77777777" w:rsidR="0018574B" w:rsidRDefault="0018574B" w:rsidP="000A0C50"/>
    <w:p w14:paraId="40275B9A" w14:textId="1EBBFCDC" w:rsidR="00597C5E" w:rsidRDefault="008B5F64" w:rsidP="000A0C50">
      <w:r>
        <w:t xml:space="preserve">The </w:t>
      </w:r>
      <w:r w:rsidR="003445AA">
        <w:rPr>
          <w:lang w:bidi="ar-SA"/>
        </w:rPr>
        <w:t>jelly mushroom glycolipids</w:t>
      </w:r>
      <w:r w:rsidR="003445AA">
        <w:t xml:space="preserve"> </w:t>
      </w:r>
      <w:r w:rsidR="0018574B">
        <w:t>are reported to have a</w:t>
      </w:r>
      <w:r w:rsidR="00CA7A5A">
        <w:t>n</w:t>
      </w:r>
      <w:r w:rsidR="000A0C50">
        <w:t xml:space="preserve"> antifungal effect against common yeasts, moulds and </w:t>
      </w:r>
      <w:r w:rsidR="009603DC">
        <w:t xml:space="preserve">antimicrobial effect against </w:t>
      </w:r>
      <w:r w:rsidR="000A0C50">
        <w:t>bacteria</w:t>
      </w:r>
      <w:r w:rsidR="00A978C2">
        <w:t>,</w:t>
      </w:r>
      <w:r w:rsidR="000A0C50">
        <w:t xml:space="preserve"> making it a </w:t>
      </w:r>
      <w:r>
        <w:t xml:space="preserve">preservative </w:t>
      </w:r>
      <w:r w:rsidR="000A0C50">
        <w:t xml:space="preserve">to prevent microbiological spoilage of </w:t>
      </w:r>
      <w:r w:rsidR="00A978C2" w:rsidRPr="00A978C2">
        <w:t xml:space="preserve">non-alcoholic </w:t>
      </w:r>
      <w:r w:rsidR="000A0C50">
        <w:t>beverages</w:t>
      </w:r>
      <w:r w:rsidR="0018574B">
        <w:t xml:space="preserve">. </w:t>
      </w:r>
      <w:r w:rsidR="00CA7A5A">
        <w:t xml:space="preserve">The </w:t>
      </w:r>
      <w:r w:rsidR="003445AA">
        <w:rPr>
          <w:lang w:bidi="ar-SA"/>
        </w:rPr>
        <w:t>jelly mushroom</w:t>
      </w:r>
      <w:r w:rsidR="003445AA">
        <w:t xml:space="preserve"> glycolipid</w:t>
      </w:r>
      <w:r w:rsidR="00CA7A5A">
        <w:t xml:space="preserve"> mixture is considered to </w:t>
      </w:r>
      <w:r w:rsidR="000A0C50">
        <w:t xml:space="preserve">prolong shelf life and </w:t>
      </w:r>
      <w:r>
        <w:t xml:space="preserve">can help </w:t>
      </w:r>
      <w:r w:rsidR="000A0C50">
        <w:t>guarantee the microbiological quality of beverages, making them a</w:t>
      </w:r>
      <w:r w:rsidR="00CA7A5A">
        <w:t>n</w:t>
      </w:r>
      <w:r w:rsidR="000A0C50">
        <w:t xml:space="preserve"> alternative or complement to other </w:t>
      </w:r>
      <w:r w:rsidR="00A978C2">
        <w:t xml:space="preserve">preservation </w:t>
      </w:r>
      <w:r w:rsidR="000A0C50">
        <w:t>techniques su</w:t>
      </w:r>
      <w:r w:rsidR="00CA7A5A">
        <w:t>ch as heat treatment</w:t>
      </w:r>
      <w:r w:rsidR="00752AB9">
        <w:t xml:space="preserve"> (Lanxess, 2018a)</w:t>
      </w:r>
      <w:r w:rsidR="00CA7A5A">
        <w:t xml:space="preserve">. </w:t>
      </w:r>
    </w:p>
    <w:p w14:paraId="1272B194" w14:textId="732F075B" w:rsidR="0018574B" w:rsidRPr="0018574B" w:rsidRDefault="0018574B" w:rsidP="000D20BD">
      <w:pPr>
        <w:pStyle w:val="Heading2"/>
      </w:pPr>
      <w:bookmarkStart w:id="42" w:name="_Toc43217042"/>
      <w:bookmarkStart w:id="43" w:name="_Toc44401526"/>
      <w:bookmarkStart w:id="44" w:name="_Toc45284278"/>
      <w:bookmarkStart w:id="45" w:name="_Toc46929401"/>
      <w:r>
        <w:t>2.</w:t>
      </w:r>
      <w:r w:rsidR="006D7405">
        <w:t>6</w:t>
      </w:r>
      <w:r w:rsidR="00797739">
        <w:tab/>
      </w:r>
      <w:r w:rsidRPr="0018574B">
        <w:t>Methods of analysis in beverages</w:t>
      </w:r>
      <w:bookmarkEnd w:id="42"/>
      <w:bookmarkEnd w:id="43"/>
      <w:bookmarkEnd w:id="44"/>
      <w:bookmarkEnd w:id="45"/>
    </w:p>
    <w:p w14:paraId="5E0CD5F2" w14:textId="14FAE263" w:rsidR="00E300FC" w:rsidRDefault="003445AA" w:rsidP="00B518A6">
      <w:pPr>
        <w:spacing w:after="120"/>
      </w:pPr>
      <w:r>
        <w:rPr>
          <w:lang w:bidi="ar-SA"/>
        </w:rPr>
        <w:t>Jelly mushroom glycolipids</w:t>
      </w:r>
      <w:r>
        <w:t xml:space="preserve"> </w:t>
      </w:r>
      <w:r w:rsidR="00B518A6">
        <w:t>can be detected and quantified in beverages by HPLC-MS. M</w:t>
      </w:r>
      <w:r w:rsidR="00B518A6" w:rsidRPr="00B518A6">
        <w:t>ass spectrometry</w:t>
      </w:r>
      <w:r w:rsidR="00B518A6">
        <w:t xml:space="preserve"> as a sensitive method of analysis</w:t>
      </w:r>
      <w:r w:rsidR="00B518A6" w:rsidRPr="00B518A6">
        <w:t xml:space="preserve"> also assures high selectivity for </w:t>
      </w:r>
      <w:r>
        <w:rPr>
          <w:lang w:bidi="ar-SA"/>
        </w:rPr>
        <w:t>jelly mushroom glycolipids</w:t>
      </w:r>
      <w:r w:rsidR="00A978C2">
        <w:rPr>
          <w:lang w:bidi="ar-SA"/>
        </w:rPr>
        <w:t>,</w:t>
      </w:r>
      <w:r w:rsidR="00B518A6" w:rsidRPr="00B518A6">
        <w:t xml:space="preserve"> independent from the beverage matrix by focusing on the relevant molecular weights only</w:t>
      </w:r>
      <w:r w:rsidR="00752AB9">
        <w:t xml:space="preserve"> </w:t>
      </w:r>
      <w:r w:rsidR="00752AB9">
        <w:rPr>
          <w:lang w:eastAsia="en-AU"/>
        </w:rPr>
        <w:t>(Bitzer, 2016)</w:t>
      </w:r>
      <w:r w:rsidR="00B518A6" w:rsidRPr="00B518A6">
        <w:t>.</w:t>
      </w:r>
    </w:p>
    <w:p w14:paraId="6AA5CDDC" w14:textId="20D06BF5" w:rsidR="00067B1D" w:rsidRDefault="00067B1D" w:rsidP="000D20BD">
      <w:pPr>
        <w:pStyle w:val="Heading2"/>
      </w:pPr>
      <w:bookmarkStart w:id="46" w:name="_Toc44401527"/>
      <w:bookmarkStart w:id="47" w:name="_Toc45284279"/>
      <w:bookmarkStart w:id="48" w:name="_Toc46929402"/>
      <w:r>
        <w:t>2.</w:t>
      </w:r>
      <w:r w:rsidR="006D7405">
        <w:t>7</w:t>
      </w:r>
      <w:r w:rsidR="00797739">
        <w:tab/>
      </w:r>
      <w:r>
        <w:t>Food technology conclusion</w:t>
      </w:r>
      <w:bookmarkEnd w:id="46"/>
      <w:bookmarkEnd w:id="47"/>
      <w:bookmarkEnd w:id="48"/>
    </w:p>
    <w:p w14:paraId="0D2ABABE" w14:textId="76CA61D4" w:rsidR="00067B1D" w:rsidRPr="00B518A6" w:rsidRDefault="00D50D46" w:rsidP="00B518A6">
      <w:pPr>
        <w:spacing w:after="120"/>
        <w:rPr>
          <w:rFonts w:ascii="Calibri" w:hAnsi="Calibri"/>
          <w:sz w:val="20"/>
          <w:lang w:eastAsia="en-AU" w:bidi="ar-SA"/>
        </w:rPr>
      </w:pPr>
      <w:r w:rsidRPr="00704050">
        <w:t>FSANZ concludes that</w:t>
      </w:r>
      <w:r w:rsidR="00DF6F69" w:rsidRPr="00704050">
        <w:t xml:space="preserve"> the use of</w:t>
      </w:r>
      <w:r w:rsidRPr="00704050">
        <w:t xml:space="preserve"> jelly mushroom glycolipids when used as a food additive for preservative purposes </w:t>
      </w:r>
      <w:r w:rsidR="00DF6F69" w:rsidRPr="00704050">
        <w:t>is justified. It may serve as an alternative to existing permitted preservatives</w:t>
      </w:r>
      <w:r w:rsidR="00704050" w:rsidRPr="00704050">
        <w:t>,</w:t>
      </w:r>
      <w:r w:rsidR="00DF6F69" w:rsidRPr="00704050">
        <w:t xml:space="preserve"> or be used in addition to </w:t>
      </w:r>
      <w:r w:rsidR="00A978C2" w:rsidRPr="00A978C2">
        <w:t xml:space="preserve">non-alcoholic </w:t>
      </w:r>
      <w:r w:rsidR="00DF6F69" w:rsidRPr="00704050">
        <w:t>beverage production methods used to reduce spoilage from yeast</w:t>
      </w:r>
      <w:r w:rsidR="00704050" w:rsidRPr="00704050">
        <w:t>s</w:t>
      </w:r>
      <w:r w:rsidR="00A978C2">
        <w:t>,</w:t>
      </w:r>
      <w:r w:rsidR="00704050" w:rsidRPr="00704050">
        <w:t xml:space="preserve"> </w:t>
      </w:r>
      <w:r w:rsidR="00A978C2" w:rsidRPr="00704050">
        <w:t xml:space="preserve">moulds </w:t>
      </w:r>
      <w:r w:rsidR="00704050" w:rsidRPr="00704050">
        <w:t xml:space="preserve">and </w:t>
      </w:r>
      <w:r w:rsidR="00A978C2" w:rsidRPr="00A978C2">
        <w:t>bacteria</w:t>
      </w:r>
      <w:r w:rsidR="00704050" w:rsidRPr="00704050">
        <w:t xml:space="preserve">. There is currently no specification for jelly mushroom glycolipids in the Food Standards Code. As such, a proposed specification based on the identification and purity data reviewed by FSANZ is provided in the Call For Submissions </w:t>
      </w:r>
      <w:r w:rsidR="00A03938">
        <w:t>report</w:t>
      </w:r>
      <w:r w:rsidR="00A03938" w:rsidRPr="00704050">
        <w:t xml:space="preserve"> </w:t>
      </w:r>
      <w:r w:rsidR="00704050" w:rsidRPr="00704050">
        <w:t xml:space="preserve">associated with this application. </w:t>
      </w:r>
      <w:r w:rsidR="00DF6F69" w:rsidRPr="00704050">
        <w:t xml:space="preserve"> </w:t>
      </w:r>
    </w:p>
    <w:p w14:paraId="7FDF187E" w14:textId="5C095DBA" w:rsidR="00E300FC" w:rsidRDefault="00E300FC" w:rsidP="00690206"/>
    <w:p w14:paraId="3D14D0C5" w14:textId="77777777" w:rsidR="002920E4" w:rsidRDefault="002920E4">
      <w:pPr>
        <w:widowControl/>
        <w:rPr>
          <w:b/>
          <w:bCs/>
          <w:sz w:val="36"/>
          <w:szCs w:val="28"/>
          <w:lang w:bidi="ar-SA"/>
        </w:rPr>
      </w:pPr>
      <w:bookmarkStart w:id="49" w:name="_Toc43217043"/>
      <w:bookmarkStart w:id="50" w:name="_Toc44401528"/>
      <w:r>
        <w:br w:type="page"/>
      </w:r>
    </w:p>
    <w:p w14:paraId="6E5D7F1C" w14:textId="7BA67CF6" w:rsidR="00E300FC" w:rsidRDefault="00E300FC" w:rsidP="00E300FC">
      <w:pPr>
        <w:pStyle w:val="Heading1"/>
      </w:pPr>
      <w:bookmarkStart w:id="51" w:name="_Toc45284280"/>
      <w:bookmarkStart w:id="52" w:name="_Toc46929403"/>
      <w:r>
        <w:t>3</w:t>
      </w:r>
      <w:r w:rsidRPr="00B13258">
        <w:tab/>
      </w:r>
      <w:r>
        <w:t>Efficacy of Glycolipid mixture</w:t>
      </w:r>
      <w:r w:rsidR="004C6502">
        <w:t xml:space="preserve"> (AM-1)</w:t>
      </w:r>
      <w:bookmarkEnd w:id="49"/>
      <w:bookmarkEnd w:id="50"/>
      <w:bookmarkEnd w:id="51"/>
      <w:bookmarkEnd w:id="52"/>
      <w:r>
        <w:t xml:space="preserve"> </w:t>
      </w:r>
    </w:p>
    <w:p w14:paraId="16A9ED93" w14:textId="38C34A10" w:rsidR="00F0396E" w:rsidRDefault="00E300FC" w:rsidP="000D20BD">
      <w:pPr>
        <w:pStyle w:val="Heading2"/>
      </w:pPr>
      <w:bookmarkStart w:id="53" w:name="_Toc43217044"/>
      <w:bookmarkStart w:id="54" w:name="_Toc44401529"/>
      <w:bookmarkStart w:id="55" w:name="_Toc45284281"/>
      <w:bookmarkStart w:id="56" w:name="_Toc46929404"/>
      <w:r>
        <w:t>3.1</w:t>
      </w:r>
      <w:r w:rsidR="00F0396E">
        <w:t xml:space="preserve"> </w:t>
      </w:r>
      <w:r w:rsidR="00942E14">
        <w:t>Mode</w:t>
      </w:r>
      <w:r w:rsidR="00F0396E">
        <w:t xml:space="preserve"> of </w:t>
      </w:r>
      <w:r w:rsidR="00F255FF">
        <w:t xml:space="preserve">action </w:t>
      </w:r>
      <w:r w:rsidR="00852133">
        <w:t xml:space="preserve">and </w:t>
      </w:r>
      <w:r w:rsidR="00F255FF">
        <w:t xml:space="preserve">minimum </w:t>
      </w:r>
      <w:r w:rsidR="00852133">
        <w:t>inhibitory concentrations</w:t>
      </w:r>
      <w:bookmarkEnd w:id="53"/>
      <w:bookmarkEnd w:id="54"/>
      <w:bookmarkEnd w:id="55"/>
      <w:bookmarkEnd w:id="56"/>
    </w:p>
    <w:p w14:paraId="27A886AA" w14:textId="69D28620" w:rsidR="00852133" w:rsidRDefault="00852133" w:rsidP="00690206">
      <w:r>
        <w:t xml:space="preserve">The applicant </w:t>
      </w:r>
      <w:r w:rsidRPr="00534D37">
        <w:rPr>
          <w:lang w:bidi="ar-SA"/>
        </w:rPr>
        <w:t>seeks permission to use a mixture of long-chain glycolipids derived from an edible jelly fungus (</w:t>
      </w:r>
      <w:r w:rsidRPr="005029AA">
        <w:rPr>
          <w:i/>
          <w:lang w:bidi="ar-SA"/>
        </w:rPr>
        <w:t>Dacryopinax spathularia</w:t>
      </w:r>
      <w:r w:rsidRPr="00534D37">
        <w:rPr>
          <w:lang w:bidi="ar-SA"/>
        </w:rPr>
        <w:t>) as a preservative in non-alcoholic beverages.</w:t>
      </w:r>
      <w:r w:rsidR="00A12E50">
        <w:rPr>
          <w:lang w:bidi="ar-SA"/>
        </w:rPr>
        <w:t xml:space="preserve"> A range of microorg</w:t>
      </w:r>
      <w:r>
        <w:rPr>
          <w:lang w:bidi="ar-SA"/>
        </w:rPr>
        <w:t>a</w:t>
      </w:r>
      <w:r w:rsidR="00A12E50">
        <w:rPr>
          <w:lang w:bidi="ar-SA"/>
        </w:rPr>
        <w:t>n</w:t>
      </w:r>
      <w:r>
        <w:rPr>
          <w:lang w:bidi="ar-SA"/>
        </w:rPr>
        <w:t>isms</w:t>
      </w:r>
      <w:r w:rsidR="00A12E50">
        <w:rPr>
          <w:lang w:bidi="ar-SA"/>
        </w:rPr>
        <w:t>, notably yeasts and mo</w:t>
      </w:r>
      <w:r w:rsidR="00353CC4">
        <w:rPr>
          <w:lang w:bidi="ar-SA"/>
        </w:rPr>
        <w:t>u</w:t>
      </w:r>
      <w:r w:rsidR="00A12E50">
        <w:rPr>
          <w:lang w:bidi="ar-SA"/>
        </w:rPr>
        <w:t>lds,</w:t>
      </w:r>
      <w:r>
        <w:rPr>
          <w:lang w:bidi="ar-SA"/>
        </w:rPr>
        <w:t xml:space="preserve"> can cause spoilage </w:t>
      </w:r>
      <w:r w:rsidR="00A12E50">
        <w:rPr>
          <w:lang w:bidi="ar-SA"/>
        </w:rPr>
        <w:t>of non-alcoholic beverages due to their</w:t>
      </w:r>
      <w:r w:rsidR="00942E14">
        <w:rPr>
          <w:lang w:bidi="ar-SA"/>
        </w:rPr>
        <w:t xml:space="preserve"> ability to grow</w:t>
      </w:r>
      <w:r w:rsidR="00A12E50">
        <w:rPr>
          <w:lang w:bidi="ar-SA"/>
        </w:rPr>
        <w:t xml:space="preserve"> at low pH and high sugar concentrations. </w:t>
      </w:r>
      <w:r w:rsidR="00A313F5">
        <w:rPr>
          <w:lang w:bidi="ar-SA"/>
        </w:rPr>
        <w:t>Resistance to preservatives such as sorbic acid and benzoic acid are important for shelf-life of fruit juices and other beverages (</w:t>
      </w:r>
      <w:r w:rsidR="00A313F5" w:rsidRPr="00A313F5">
        <w:rPr>
          <w:lang w:bidi="ar-SA"/>
        </w:rPr>
        <w:t>Tribst</w:t>
      </w:r>
      <w:r w:rsidR="00FE3242">
        <w:rPr>
          <w:lang w:bidi="ar-SA"/>
        </w:rPr>
        <w:t xml:space="preserve"> et al</w:t>
      </w:r>
      <w:r w:rsidR="00A313F5">
        <w:rPr>
          <w:lang w:bidi="ar-SA"/>
        </w:rPr>
        <w:t xml:space="preserve">, </w:t>
      </w:r>
      <w:r w:rsidR="00FE3242">
        <w:rPr>
          <w:lang w:bidi="ar-SA"/>
        </w:rPr>
        <w:t>2009</w:t>
      </w:r>
      <w:r w:rsidR="00A313F5">
        <w:rPr>
          <w:lang w:bidi="ar-SA"/>
        </w:rPr>
        <w:t xml:space="preserve">). </w:t>
      </w:r>
      <w:r w:rsidR="00A12E50">
        <w:rPr>
          <w:lang w:bidi="ar-SA"/>
        </w:rPr>
        <w:t xml:space="preserve">Spoilage yeasts include species from the </w:t>
      </w:r>
      <w:r w:rsidR="00A12E50" w:rsidRPr="00A12E50">
        <w:rPr>
          <w:i/>
          <w:lang w:bidi="ar-SA"/>
        </w:rPr>
        <w:t>Saccharomyces</w:t>
      </w:r>
      <w:r w:rsidR="00A12E50" w:rsidRPr="00A12E50">
        <w:rPr>
          <w:lang w:bidi="ar-SA"/>
        </w:rPr>
        <w:t xml:space="preserve">, </w:t>
      </w:r>
      <w:r w:rsidR="00A12E50" w:rsidRPr="00A12E50">
        <w:rPr>
          <w:i/>
          <w:lang w:bidi="ar-SA"/>
        </w:rPr>
        <w:t>Zygosaccharomyces</w:t>
      </w:r>
      <w:r w:rsidR="00A12E50" w:rsidRPr="00A12E50">
        <w:rPr>
          <w:lang w:bidi="ar-SA"/>
        </w:rPr>
        <w:t xml:space="preserve">, </w:t>
      </w:r>
      <w:r w:rsidR="00A12E50" w:rsidRPr="00A12E50">
        <w:rPr>
          <w:i/>
          <w:lang w:bidi="ar-SA"/>
        </w:rPr>
        <w:t>Candida</w:t>
      </w:r>
      <w:r w:rsidR="00A12E50" w:rsidRPr="00A12E50">
        <w:rPr>
          <w:lang w:bidi="ar-SA"/>
        </w:rPr>
        <w:t xml:space="preserve"> and </w:t>
      </w:r>
      <w:r w:rsidR="00A12E50" w:rsidRPr="00A12E50">
        <w:rPr>
          <w:i/>
          <w:lang w:bidi="ar-SA"/>
        </w:rPr>
        <w:t>Dekkera</w:t>
      </w:r>
      <w:r w:rsidR="00A12E50">
        <w:rPr>
          <w:lang w:bidi="ar-SA"/>
        </w:rPr>
        <w:t xml:space="preserve"> genera.</w:t>
      </w:r>
      <w:r w:rsidR="00410BFF">
        <w:rPr>
          <w:lang w:bidi="ar-SA"/>
        </w:rPr>
        <w:t xml:space="preserve"> </w:t>
      </w:r>
      <w:r w:rsidR="00B932A0" w:rsidRPr="00B932A0">
        <w:rPr>
          <w:lang w:bidi="ar-SA"/>
        </w:rPr>
        <w:t>Typical spoilage mo</w:t>
      </w:r>
      <w:r w:rsidR="00353CC4">
        <w:rPr>
          <w:lang w:bidi="ar-SA"/>
        </w:rPr>
        <w:t>u</w:t>
      </w:r>
      <w:r w:rsidR="00B932A0" w:rsidRPr="00B932A0">
        <w:rPr>
          <w:lang w:bidi="ar-SA"/>
        </w:rPr>
        <w:t xml:space="preserve">lds in beverages include the genera </w:t>
      </w:r>
      <w:r w:rsidR="00B932A0" w:rsidRPr="00B932A0">
        <w:rPr>
          <w:i/>
          <w:lang w:bidi="ar-SA"/>
        </w:rPr>
        <w:t>Penicillium</w:t>
      </w:r>
      <w:r w:rsidR="00B932A0" w:rsidRPr="00B932A0">
        <w:rPr>
          <w:lang w:bidi="ar-SA"/>
        </w:rPr>
        <w:t xml:space="preserve">, </w:t>
      </w:r>
      <w:r w:rsidR="00B932A0" w:rsidRPr="00B932A0">
        <w:rPr>
          <w:i/>
          <w:lang w:bidi="ar-SA"/>
        </w:rPr>
        <w:t>Aspergillus</w:t>
      </w:r>
      <w:r w:rsidR="00B932A0" w:rsidRPr="00B932A0">
        <w:rPr>
          <w:lang w:bidi="ar-SA"/>
        </w:rPr>
        <w:t xml:space="preserve"> and </w:t>
      </w:r>
      <w:r w:rsidR="00B932A0" w:rsidRPr="00B932A0">
        <w:rPr>
          <w:i/>
          <w:lang w:bidi="ar-SA"/>
        </w:rPr>
        <w:t>Brettanomyces</w:t>
      </w:r>
      <w:r w:rsidR="00B932A0" w:rsidRPr="00B932A0">
        <w:rPr>
          <w:lang w:bidi="ar-SA"/>
        </w:rPr>
        <w:t>.</w:t>
      </w:r>
      <w:r w:rsidR="00B932A0">
        <w:rPr>
          <w:lang w:bidi="ar-SA"/>
        </w:rPr>
        <w:t xml:space="preserve"> Heat resistant </w:t>
      </w:r>
      <w:r w:rsidR="00B932A0" w:rsidRPr="00B932A0">
        <w:rPr>
          <w:lang w:bidi="ar-SA"/>
        </w:rPr>
        <w:t>mo</w:t>
      </w:r>
      <w:r w:rsidR="00353CC4">
        <w:rPr>
          <w:lang w:bidi="ar-SA"/>
        </w:rPr>
        <w:t>u</w:t>
      </w:r>
      <w:r w:rsidR="00B932A0" w:rsidRPr="00B932A0">
        <w:rPr>
          <w:lang w:bidi="ar-SA"/>
        </w:rPr>
        <w:t xml:space="preserve">ld spores of </w:t>
      </w:r>
      <w:r w:rsidR="00B932A0" w:rsidRPr="00B932A0">
        <w:rPr>
          <w:i/>
          <w:lang w:bidi="ar-SA"/>
        </w:rPr>
        <w:t>Byssochlamys</w:t>
      </w:r>
      <w:r w:rsidR="00B932A0" w:rsidRPr="00B932A0">
        <w:rPr>
          <w:lang w:bidi="ar-SA"/>
        </w:rPr>
        <w:t xml:space="preserve">, its anamorphic (asexual) stages </w:t>
      </w:r>
      <w:r w:rsidR="00B932A0" w:rsidRPr="00B932A0">
        <w:rPr>
          <w:i/>
          <w:lang w:bidi="ar-SA"/>
        </w:rPr>
        <w:t>Paecilomyces</w:t>
      </w:r>
      <w:r w:rsidR="00B932A0" w:rsidRPr="00B932A0">
        <w:rPr>
          <w:lang w:bidi="ar-SA"/>
        </w:rPr>
        <w:t xml:space="preserve">, and </w:t>
      </w:r>
      <w:r w:rsidR="00B932A0" w:rsidRPr="00B932A0">
        <w:rPr>
          <w:i/>
          <w:lang w:bidi="ar-SA"/>
        </w:rPr>
        <w:t>Neosartorya</w:t>
      </w:r>
      <w:r w:rsidR="00B932A0" w:rsidRPr="00B932A0">
        <w:rPr>
          <w:lang w:bidi="ar-SA"/>
        </w:rPr>
        <w:t xml:space="preserve"> spp. can survive pasteurization</w:t>
      </w:r>
      <w:r w:rsidR="00B932A0">
        <w:rPr>
          <w:lang w:bidi="ar-SA"/>
        </w:rPr>
        <w:t xml:space="preserve">. This can result in </w:t>
      </w:r>
      <w:r w:rsidR="00B932A0" w:rsidRPr="00B932A0">
        <w:rPr>
          <w:lang w:bidi="ar-SA"/>
        </w:rPr>
        <w:t>spoil</w:t>
      </w:r>
      <w:r w:rsidR="00B932A0">
        <w:rPr>
          <w:lang w:bidi="ar-SA"/>
        </w:rPr>
        <w:t>age of</w:t>
      </w:r>
      <w:r w:rsidR="00B932A0" w:rsidRPr="00B932A0">
        <w:rPr>
          <w:lang w:bidi="ar-SA"/>
        </w:rPr>
        <w:t xml:space="preserve"> hot-filled products, including carbonated beverages, sport drinks, and teas.</w:t>
      </w:r>
      <w:r w:rsidR="00B932A0">
        <w:rPr>
          <w:lang w:bidi="ar-SA"/>
        </w:rPr>
        <w:t xml:space="preserve"> Bacteria, such as </w:t>
      </w:r>
      <w:r w:rsidR="00B932A0" w:rsidRPr="00B932A0">
        <w:rPr>
          <w:i/>
          <w:lang w:bidi="ar-SA"/>
        </w:rPr>
        <w:t>Bacillus</w:t>
      </w:r>
      <w:r w:rsidR="00B932A0" w:rsidRPr="00B932A0">
        <w:rPr>
          <w:lang w:bidi="ar-SA"/>
        </w:rPr>
        <w:t xml:space="preserve"> </w:t>
      </w:r>
      <w:r w:rsidR="00B932A0" w:rsidRPr="00B932A0">
        <w:rPr>
          <w:i/>
          <w:lang w:bidi="ar-SA"/>
        </w:rPr>
        <w:t>cereus</w:t>
      </w:r>
      <w:r w:rsidR="00B932A0" w:rsidRPr="00B932A0">
        <w:rPr>
          <w:lang w:bidi="ar-SA"/>
        </w:rPr>
        <w:t xml:space="preserve"> or certain lactic acid bacteria</w:t>
      </w:r>
      <w:r w:rsidR="00B932A0">
        <w:rPr>
          <w:lang w:bidi="ar-SA"/>
        </w:rPr>
        <w:t xml:space="preserve"> </w:t>
      </w:r>
      <w:r w:rsidR="00B932A0" w:rsidRPr="00B932A0">
        <w:rPr>
          <w:lang w:bidi="ar-SA"/>
        </w:rPr>
        <w:t>are</w:t>
      </w:r>
      <w:r w:rsidR="00B932A0">
        <w:rPr>
          <w:lang w:bidi="ar-SA"/>
        </w:rPr>
        <w:t xml:space="preserve"> also</w:t>
      </w:r>
      <w:r w:rsidR="00B932A0" w:rsidRPr="00B932A0">
        <w:rPr>
          <w:lang w:bidi="ar-SA"/>
        </w:rPr>
        <w:t xml:space="preserve"> known to spoil beverages. </w:t>
      </w:r>
    </w:p>
    <w:p w14:paraId="46C0045F" w14:textId="325BCE40" w:rsidR="00852133" w:rsidRDefault="00852133" w:rsidP="00690206"/>
    <w:p w14:paraId="006F601C" w14:textId="6583DE64" w:rsidR="00B932A0" w:rsidRDefault="00B932A0" w:rsidP="00B932A0">
      <w:r>
        <w:t xml:space="preserve">The exact mechanism for the mode of action for glycolipids </w:t>
      </w:r>
      <w:r w:rsidR="00945D55">
        <w:t xml:space="preserve">has not </w:t>
      </w:r>
      <w:r>
        <w:t xml:space="preserve">been established. The results of </w:t>
      </w:r>
      <w:r w:rsidRPr="00410BFF">
        <w:rPr>
          <w:i/>
        </w:rPr>
        <w:t>in vitro</w:t>
      </w:r>
      <w:r>
        <w:t xml:space="preserve"> studies suggest that the surfactant properties </w:t>
      </w:r>
      <w:r w:rsidR="00F255FF">
        <w:t xml:space="preserve">of </w:t>
      </w:r>
      <w:r>
        <w:t>glycolipids alters the cytoplasmic membrane leading to increased permeability and leakage of cell contents. The metabolism of the cells is affected (e</w:t>
      </w:r>
      <w:r w:rsidR="00353CC4">
        <w:t>.</w:t>
      </w:r>
      <w:r>
        <w:t>g</w:t>
      </w:r>
      <w:r w:rsidR="00353CC4">
        <w:t>.</w:t>
      </w:r>
      <w:r>
        <w:t xml:space="preserve"> inhibition of acid production from glucose) and cell death.</w:t>
      </w:r>
    </w:p>
    <w:p w14:paraId="0A75CBDC" w14:textId="77777777" w:rsidR="00B932A0" w:rsidRDefault="00B932A0" w:rsidP="00B932A0"/>
    <w:p w14:paraId="2117A288" w14:textId="2A243D99" w:rsidR="00F0396E" w:rsidRDefault="00CE2229" w:rsidP="00B932A0">
      <w:r>
        <w:t xml:space="preserve">Kulakovskaya </w:t>
      </w:r>
      <w:r w:rsidR="00890548">
        <w:t xml:space="preserve">et al. (2003) treated cells of </w:t>
      </w:r>
      <w:r w:rsidR="00890548" w:rsidRPr="00942E14">
        <w:rPr>
          <w:i/>
        </w:rPr>
        <w:t>Saccharomyces</w:t>
      </w:r>
      <w:r w:rsidR="00890548">
        <w:t xml:space="preserve"> </w:t>
      </w:r>
      <w:r w:rsidR="00890548" w:rsidRPr="00942E14">
        <w:rPr>
          <w:i/>
        </w:rPr>
        <w:t>cerevisiae</w:t>
      </w:r>
      <w:r w:rsidR="00890548">
        <w:t xml:space="preserve"> yeast with purified glycolipids produced by </w:t>
      </w:r>
      <w:r w:rsidR="00890548" w:rsidRPr="00890548">
        <w:rPr>
          <w:i/>
        </w:rPr>
        <w:t>Pseudozyma</w:t>
      </w:r>
      <w:r w:rsidR="00890548">
        <w:t xml:space="preserve"> </w:t>
      </w:r>
      <w:r w:rsidR="00890548" w:rsidRPr="00890548">
        <w:rPr>
          <w:i/>
        </w:rPr>
        <w:t>fusiformata</w:t>
      </w:r>
      <w:r w:rsidR="00890548">
        <w:t>. Susceptible yeast cells were found to leak ATP (adenosine triphosphate) due to enhanced non-specific permeability of the cytoplasmic membrane. Sotirova et al (2008) measured the effects</w:t>
      </w:r>
      <w:r w:rsidR="00942E14">
        <w:t xml:space="preserve"> of cell permeability of </w:t>
      </w:r>
      <w:r w:rsidR="00890548">
        <w:t xml:space="preserve">a complex mix of glycolipids and a biopolymer isolated from a bacterial </w:t>
      </w:r>
      <w:r w:rsidR="00890548" w:rsidRPr="00890548">
        <w:rPr>
          <w:i/>
        </w:rPr>
        <w:t>Pseudomonas</w:t>
      </w:r>
      <w:r w:rsidR="00942E14">
        <w:t xml:space="preserve"> species.</w:t>
      </w:r>
      <w:r w:rsidR="00890548">
        <w:t xml:space="preserve"> Three bacterial species were tested: Gram-positive </w:t>
      </w:r>
      <w:r w:rsidR="00890548" w:rsidRPr="00890548">
        <w:rPr>
          <w:i/>
        </w:rPr>
        <w:t>Bacillus</w:t>
      </w:r>
      <w:r w:rsidR="00890548">
        <w:t xml:space="preserve"> </w:t>
      </w:r>
      <w:r w:rsidR="00890548" w:rsidRPr="00890548">
        <w:rPr>
          <w:i/>
        </w:rPr>
        <w:t>subtilis</w:t>
      </w:r>
      <w:r w:rsidR="00890548">
        <w:t xml:space="preserve"> and two Gram-negative species, </w:t>
      </w:r>
      <w:r w:rsidR="00890548" w:rsidRPr="00890548">
        <w:rPr>
          <w:i/>
        </w:rPr>
        <w:t>Escherichia</w:t>
      </w:r>
      <w:r w:rsidR="00890548">
        <w:t xml:space="preserve"> </w:t>
      </w:r>
      <w:r w:rsidR="00890548" w:rsidRPr="00890548">
        <w:rPr>
          <w:i/>
        </w:rPr>
        <w:t>coli</w:t>
      </w:r>
      <w:r w:rsidR="00890548">
        <w:t xml:space="preserve"> and </w:t>
      </w:r>
      <w:r w:rsidR="00890548" w:rsidRPr="00890548">
        <w:rPr>
          <w:i/>
        </w:rPr>
        <w:t>Ps</w:t>
      </w:r>
      <w:r w:rsidR="00890548">
        <w:rPr>
          <w:i/>
        </w:rPr>
        <w:t>e</w:t>
      </w:r>
      <w:r w:rsidR="00890548" w:rsidRPr="00890548">
        <w:rPr>
          <w:i/>
        </w:rPr>
        <w:t>udomonas</w:t>
      </w:r>
      <w:r w:rsidR="00890548">
        <w:t xml:space="preserve"> </w:t>
      </w:r>
      <w:r w:rsidR="00890548" w:rsidRPr="00890548">
        <w:rPr>
          <w:i/>
        </w:rPr>
        <w:t>aeruginosa</w:t>
      </w:r>
      <w:r w:rsidR="00890548">
        <w:t>. The study found that the t</w:t>
      </w:r>
      <w:r w:rsidR="00942E14">
        <w:t xml:space="preserve">est mixture was more effective as measured by the </w:t>
      </w:r>
      <w:r w:rsidR="00890548">
        <w:t>leakage of p</w:t>
      </w:r>
      <w:r w:rsidR="00942E14">
        <w:t>rotein and inhibition of growth,</w:t>
      </w:r>
      <w:r w:rsidR="00890548">
        <w:t xml:space="preserve"> against the Gram-positive </w:t>
      </w:r>
      <w:r w:rsidR="00890548" w:rsidRPr="00890548">
        <w:rPr>
          <w:i/>
        </w:rPr>
        <w:t>B</w:t>
      </w:r>
      <w:r w:rsidR="00890548">
        <w:t xml:space="preserve">. </w:t>
      </w:r>
      <w:r w:rsidR="00890548" w:rsidRPr="00890548">
        <w:rPr>
          <w:i/>
        </w:rPr>
        <w:t>subtilis</w:t>
      </w:r>
      <w:r w:rsidR="00890548">
        <w:t>, compared with the Gram-negative species.</w:t>
      </w:r>
      <w:r w:rsidR="00C50D2C">
        <w:t xml:space="preserve"> Mimee (2009)</w:t>
      </w:r>
      <w:r w:rsidR="003D49CB">
        <w:t xml:space="preserve"> studied the antibacterial activity produced by </w:t>
      </w:r>
      <w:r w:rsidR="003D49CB" w:rsidRPr="003D49CB">
        <w:rPr>
          <w:i/>
        </w:rPr>
        <w:t>Pseudozyma</w:t>
      </w:r>
      <w:r w:rsidR="003D49CB">
        <w:t xml:space="preserve"> </w:t>
      </w:r>
      <w:r w:rsidR="003D49CB" w:rsidRPr="003D49CB">
        <w:rPr>
          <w:i/>
        </w:rPr>
        <w:t>flocculosa</w:t>
      </w:r>
      <w:r w:rsidR="003D49CB">
        <w:t xml:space="preserve"> on a range of Gram-positive </w:t>
      </w:r>
      <w:r w:rsidR="00910358">
        <w:t xml:space="preserve">bacteria (n = 9) including </w:t>
      </w:r>
      <w:r w:rsidR="00910358" w:rsidRPr="00910358">
        <w:rPr>
          <w:i/>
        </w:rPr>
        <w:t>Bacteroides</w:t>
      </w:r>
      <w:r w:rsidR="00910358" w:rsidRPr="00910358">
        <w:t xml:space="preserve"> </w:t>
      </w:r>
      <w:r w:rsidR="00910358">
        <w:t xml:space="preserve">spp., </w:t>
      </w:r>
      <w:r w:rsidR="00910358" w:rsidRPr="00910358">
        <w:rPr>
          <w:i/>
        </w:rPr>
        <w:t>E</w:t>
      </w:r>
      <w:r w:rsidR="00910358">
        <w:t xml:space="preserve">. </w:t>
      </w:r>
      <w:r w:rsidR="00910358" w:rsidRPr="00910358">
        <w:rPr>
          <w:i/>
        </w:rPr>
        <w:t>coli</w:t>
      </w:r>
      <w:r w:rsidR="00910358">
        <w:t xml:space="preserve"> and </w:t>
      </w:r>
      <w:r w:rsidR="00910358" w:rsidRPr="00910358">
        <w:rPr>
          <w:i/>
        </w:rPr>
        <w:t>Pseudomonas</w:t>
      </w:r>
      <w:r w:rsidR="00910358">
        <w:t xml:space="preserve"> </w:t>
      </w:r>
      <w:r w:rsidR="00910358" w:rsidRPr="00910358">
        <w:rPr>
          <w:i/>
        </w:rPr>
        <w:t>putida</w:t>
      </w:r>
      <w:r w:rsidR="00910358">
        <w:t xml:space="preserve"> </w:t>
      </w:r>
      <w:r w:rsidR="003D49CB">
        <w:t>and Gram-negative bacteria</w:t>
      </w:r>
      <w:r w:rsidR="00910358">
        <w:t xml:space="preserve"> (n = 36) including </w:t>
      </w:r>
      <w:r w:rsidR="00910358" w:rsidRPr="00890548">
        <w:rPr>
          <w:i/>
        </w:rPr>
        <w:t>Bacillus</w:t>
      </w:r>
      <w:r w:rsidR="00910358" w:rsidRPr="00910358">
        <w:t xml:space="preserve"> spp., </w:t>
      </w:r>
      <w:r w:rsidR="00910358" w:rsidRPr="00910358">
        <w:rPr>
          <w:i/>
        </w:rPr>
        <w:t>Clostridium</w:t>
      </w:r>
      <w:r w:rsidR="00910358" w:rsidRPr="00910358">
        <w:t xml:space="preserve"> spp., </w:t>
      </w:r>
      <w:r w:rsidR="00910358" w:rsidRPr="00910358">
        <w:rPr>
          <w:i/>
        </w:rPr>
        <w:t xml:space="preserve">Leuconostoc </w:t>
      </w:r>
      <w:r w:rsidR="00910358" w:rsidRPr="00910358">
        <w:t xml:space="preserve">spp. and </w:t>
      </w:r>
      <w:r w:rsidR="00910358" w:rsidRPr="00910358">
        <w:rPr>
          <w:i/>
        </w:rPr>
        <w:t>Staphylocccus</w:t>
      </w:r>
      <w:r w:rsidR="00910358" w:rsidRPr="00910358">
        <w:t xml:space="preserve"> spp</w:t>
      </w:r>
      <w:r w:rsidR="003D49CB">
        <w:t>. Consistent with other studies</w:t>
      </w:r>
      <w:r w:rsidR="00F255FF">
        <w:t>,</w:t>
      </w:r>
      <w:r w:rsidR="003D49CB">
        <w:t xml:space="preserve"> the Gram-positive bacteria were more sensitive, as indicated by lower Minimum Inhibitory Concentrations (MICs) compared to the Gram-negative strains. Additional studies into the activity of the glycolipid on the yeast, </w:t>
      </w:r>
      <w:r w:rsidR="003D49CB" w:rsidRPr="003D49CB">
        <w:rPr>
          <w:i/>
        </w:rPr>
        <w:t>Candida</w:t>
      </w:r>
      <w:r w:rsidR="003D49CB">
        <w:t xml:space="preserve"> </w:t>
      </w:r>
      <w:r w:rsidR="003D49CB" w:rsidRPr="003D49CB">
        <w:rPr>
          <w:i/>
        </w:rPr>
        <w:t>albicans</w:t>
      </w:r>
      <w:r w:rsidR="003D49CB">
        <w:t>, found a rapid and dose dependent loss of cell viability, inhibition of acid production from glucose and leakage of cellular potassium.</w:t>
      </w:r>
      <w:r w:rsidR="00124CF8">
        <w:t xml:space="preserve"> A 99% reduction in cell concentration was observed within 3 hours at the MIC of 25 mg/l.</w:t>
      </w:r>
    </w:p>
    <w:p w14:paraId="1F71821C" w14:textId="77777777" w:rsidR="00913077" w:rsidRDefault="00913077" w:rsidP="00CE2229">
      <w:pPr>
        <w:rPr>
          <w:lang w:eastAsia="en-AU" w:bidi="ar-SA"/>
        </w:rPr>
      </w:pPr>
    </w:p>
    <w:p w14:paraId="65A15936" w14:textId="37A40DA8" w:rsidR="00CE2229" w:rsidRDefault="00B932A0" w:rsidP="00CE2229">
      <w:pPr>
        <w:rPr>
          <w:lang w:eastAsia="en-AU" w:bidi="ar-SA"/>
        </w:rPr>
      </w:pPr>
      <w:r>
        <w:rPr>
          <w:lang w:eastAsia="en-AU" w:bidi="ar-SA"/>
        </w:rPr>
        <w:t>A study provided by the</w:t>
      </w:r>
      <w:r w:rsidDel="00945D55">
        <w:rPr>
          <w:lang w:eastAsia="en-AU" w:bidi="ar-SA"/>
        </w:rPr>
        <w:t xml:space="preserve"> </w:t>
      </w:r>
      <w:r w:rsidR="00945D55">
        <w:rPr>
          <w:lang w:eastAsia="en-AU" w:bidi="ar-SA"/>
        </w:rPr>
        <w:t>applicant</w:t>
      </w:r>
      <w:r>
        <w:rPr>
          <w:lang w:eastAsia="en-AU" w:bidi="ar-SA"/>
        </w:rPr>
        <w:t xml:space="preserve"> provides a comparison of MICs for a wide range of Gram-positive bacteria (including </w:t>
      </w:r>
      <w:r w:rsidRPr="00D2601B">
        <w:rPr>
          <w:i/>
          <w:lang w:eastAsia="en-AU" w:bidi="ar-SA"/>
        </w:rPr>
        <w:t>Bacillus</w:t>
      </w:r>
      <w:r>
        <w:rPr>
          <w:lang w:eastAsia="en-AU" w:bidi="ar-SA"/>
        </w:rPr>
        <w:t xml:space="preserve"> spp., </w:t>
      </w:r>
      <w:r w:rsidRPr="008A07D0">
        <w:rPr>
          <w:i/>
          <w:szCs w:val="20"/>
        </w:rPr>
        <w:t>Clostridium</w:t>
      </w:r>
      <w:r w:rsidRPr="00B932A0">
        <w:rPr>
          <w:szCs w:val="20"/>
        </w:rPr>
        <w:t xml:space="preserve"> spp.</w:t>
      </w:r>
      <w:r w:rsidR="00D2601B">
        <w:rPr>
          <w:szCs w:val="20"/>
        </w:rPr>
        <w:t xml:space="preserve"> and lactic acid bacteria</w:t>
      </w:r>
      <w:r>
        <w:rPr>
          <w:lang w:eastAsia="en-AU" w:bidi="ar-SA"/>
        </w:rPr>
        <w:t xml:space="preserve">), yeasts </w:t>
      </w:r>
      <w:r w:rsidR="00D2601B">
        <w:rPr>
          <w:lang w:eastAsia="en-AU" w:bidi="ar-SA"/>
        </w:rPr>
        <w:t>(</w:t>
      </w:r>
      <w:r w:rsidR="00D2601B" w:rsidRPr="008A07D0">
        <w:rPr>
          <w:i/>
          <w:szCs w:val="20"/>
        </w:rPr>
        <w:t>Aspergillus</w:t>
      </w:r>
      <w:r w:rsidR="00D2601B">
        <w:rPr>
          <w:szCs w:val="20"/>
        </w:rPr>
        <w:t xml:space="preserve"> spp., </w:t>
      </w:r>
      <w:r w:rsidR="00D2601B" w:rsidRPr="008A07D0">
        <w:rPr>
          <w:i/>
          <w:szCs w:val="20"/>
        </w:rPr>
        <w:t>Byssochlamys</w:t>
      </w:r>
      <w:r w:rsidR="00D2601B">
        <w:rPr>
          <w:szCs w:val="20"/>
        </w:rPr>
        <w:t xml:space="preserve">, </w:t>
      </w:r>
      <w:r w:rsidR="00D2601B" w:rsidRPr="008A07D0">
        <w:rPr>
          <w:i/>
          <w:szCs w:val="20"/>
        </w:rPr>
        <w:t>Talaromyces</w:t>
      </w:r>
      <w:r w:rsidR="00D2601B">
        <w:rPr>
          <w:szCs w:val="20"/>
        </w:rPr>
        <w:t xml:space="preserve"> and </w:t>
      </w:r>
      <w:r w:rsidR="00D2601B" w:rsidRPr="008A07D0">
        <w:rPr>
          <w:i/>
          <w:szCs w:val="20"/>
        </w:rPr>
        <w:t>Dekkera</w:t>
      </w:r>
      <w:r w:rsidR="00D2601B">
        <w:rPr>
          <w:szCs w:val="20"/>
        </w:rPr>
        <w:t xml:space="preserve"> spp.</w:t>
      </w:r>
      <w:r w:rsidR="00D2601B">
        <w:rPr>
          <w:lang w:eastAsia="en-AU" w:bidi="ar-SA"/>
        </w:rPr>
        <w:t xml:space="preserve">) </w:t>
      </w:r>
      <w:r>
        <w:rPr>
          <w:lang w:eastAsia="en-AU" w:bidi="ar-SA"/>
        </w:rPr>
        <w:t>and mo</w:t>
      </w:r>
      <w:r w:rsidR="00353CC4">
        <w:rPr>
          <w:lang w:eastAsia="en-AU" w:bidi="ar-SA"/>
        </w:rPr>
        <w:t>u</w:t>
      </w:r>
      <w:r>
        <w:rPr>
          <w:lang w:eastAsia="en-AU" w:bidi="ar-SA"/>
        </w:rPr>
        <w:t>lds</w:t>
      </w:r>
      <w:r w:rsidR="00D2601B">
        <w:rPr>
          <w:lang w:eastAsia="en-AU" w:bidi="ar-SA"/>
        </w:rPr>
        <w:t xml:space="preserve"> (</w:t>
      </w:r>
      <w:r w:rsidR="00D2601B" w:rsidRPr="008A07D0">
        <w:rPr>
          <w:i/>
          <w:szCs w:val="20"/>
        </w:rPr>
        <w:t>Saccharomyces</w:t>
      </w:r>
      <w:r w:rsidR="00D2601B">
        <w:rPr>
          <w:szCs w:val="20"/>
        </w:rPr>
        <w:t xml:space="preserve">, </w:t>
      </w:r>
      <w:r w:rsidR="00D2601B" w:rsidRPr="008A07D0">
        <w:rPr>
          <w:i/>
          <w:szCs w:val="20"/>
        </w:rPr>
        <w:t>Zygosaccharomyces</w:t>
      </w:r>
      <w:r w:rsidR="00D2601B">
        <w:rPr>
          <w:szCs w:val="20"/>
        </w:rPr>
        <w:t xml:space="preserve"> spp. and </w:t>
      </w:r>
      <w:r w:rsidR="00D2601B" w:rsidRPr="008A07D0">
        <w:rPr>
          <w:i/>
          <w:szCs w:val="20"/>
        </w:rPr>
        <w:t>Candida</w:t>
      </w:r>
      <w:r w:rsidR="00D2601B">
        <w:rPr>
          <w:lang w:eastAsia="en-AU" w:bidi="ar-SA"/>
        </w:rPr>
        <w:t>)</w:t>
      </w:r>
      <w:r>
        <w:rPr>
          <w:lang w:eastAsia="en-AU" w:bidi="ar-SA"/>
        </w:rPr>
        <w:t xml:space="preserve">. A </w:t>
      </w:r>
      <w:r w:rsidR="00361D78">
        <w:rPr>
          <w:lang w:eastAsia="en-AU" w:bidi="ar-SA"/>
        </w:rPr>
        <w:t xml:space="preserve">graphical </w:t>
      </w:r>
      <w:r>
        <w:rPr>
          <w:lang w:eastAsia="en-AU" w:bidi="ar-SA"/>
        </w:rPr>
        <w:t xml:space="preserve">summary of the MICs for each group of microorganisms is in </w:t>
      </w:r>
      <w:r w:rsidRPr="007B2D8F">
        <w:rPr>
          <w:b/>
          <w:lang w:eastAsia="en-AU" w:bidi="ar-SA"/>
        </w:rPr>
        <w:t xml:space="preserve">Figure </w:t>
      </w:r>
      <w:r w:rsidR="00913077" w:rsidRPr="007B2D8F">
        <w:rPr>
          <w:b/>
          <w:lang w:eastAsia="en-AU" w:bidi="ar-SA"/>
        </w:rPr>
        <w:t>3</w:t>
      </w:r>
      <w:r>
        <w:rPr>
          <w:lang w:eastAsia="en-AU" w:bidi="ar-SA"/>
        </w:rPr>
        <w:t xml:space="preserve">. </w:t>
      </w:r>
      <w:r w:rsidR="00410BFF">
        <w:rPr>
          <w:lang w:eastAsia="en-AU" w:bidi="ar-SA"/>
        </w:rPr>
        <w:t xml:space="preserve">The </w:t>
      </w:r>
      <w:r w:rsidR="00D2601B">
        <w:rPr>
          <w:lang w:eastAsia="en-AU" w:bidi="ar-SA"/>
        </w:rPr>
        <w:t xml:space="preserve">median </w:t>
      </w:r>
      <w:r w:rsidR="00410BFF">
        <w:rPr>
          <w:lang w:eastAsia="en-AU" w:bidi="ar-SA"/>
        </w:rPr>
        <w:t xml:space="preserve">MICs </w:t>
      </w:r>
      <w:r w:rsidR="00EF3B40">
        <w:rPr>
          <w:lang w:eastAsia="en-AU" w:bidi="ar-SA"/>
        </w:rPr>
        <w:t>for Gram-positive bacteria, yeasts and mo</w:t>
      </w:r>
      <w:r w:rsidR="00353CC4">
        <w:rPr>
          <w:lang w:eastAsia="en-AU" w:bidi="ar-SA"/>
        </w:rPr>
        <w:t>u</w:t>
      </w:r>
      <w:r w:rsidR="00EF3B40">
        <w:rPr>
          <w:lang w:eastAsia="en-AU" w:bidi="ar-SA"/>
        </w:rPr>
        <w:t xml:space="preserve">lds are 25, 6.3 and 9.4 </w:t>
      </w:r>
      <w:r w:rsidR="00437175">
        <w:rPr>
          <w:lang w:eastAsia="en-AU" w:bidi="ar-SA"/>
        </w:rPr>
        <w:t>m</w:t>
      </w:r>
      <w:r w:rsidR="00EF3B40">
        <w:rPr>
          <w:lang w:eastAsia="en-AU" w:bidi="ar-SA"/>
        </w:rPr>
        <w:t>g/l</w:t>
      </w:r>
      <w:r w:rsidR="00361D78">
        <w:rPr>
          <w:lang w:eastAsia="en-AU" w:bidi="ar-SA"/>
        </w:rPr>
        <w:t>, respectively</w:t>
      </w:r>
      <w:r w:rsidR="00EF3B40">
        <w:rPr>
          <w:lang w:eastAsia="en-AU" w:bidi="ar-SA"/>
        </w:rPr>
        <w:t xml:space="preserve">. </w:t>
      </w:r>
      <w:r w:rsidR="00361D78">
        <w:rPr>
          <w:lang w:eastAsia="en-AU" w:bidi="ar-SA"/>
        </w:rPr>
        <w:t xml:space="preserve">The </w:t>
      </w:r>
      <w:r w:rsidR="00EF3B40">
        <w:rPr>
          <w:lang w:eastAsia="en-AU" w:bidi="ar-SA"/>
        </w:rPr>
        <w:t>variability in the MICs for the Gram-positive bacteria species is greater than for both the yeasts and mo</w:t>
      </w:r>
      <w:r w:rsidR="00353CC4">
        <w:rPr>
          <w:lang w:eastAsia="en-AU" w:bidi="ar-SA"/>
        </w:rPr>
        <w:t>u</w:t>
      </w:r>
      <w:r w:rsidR="00EF3B40">
        <w:rPr>
          <w:lang w:eastAsia="en-AU" w:bidi="ar-SA"/>
        </w:rPr>
        <w:t>lds</w:t>
      </w:r>
      <w:r w:rsidR="00C87575">
        <w:rPr>
          <w:lang w:eastAsia="en-AU" w:bidi="ar-SA"/>
        </w:rPr>
        <w:t xml:space="preserve"> species</w:t>
      </w:r>
      <w:r w:rsidR="00EF3B40">
        <w:rPr>
          <w:lang w:eastAsia="en-AU" w:bidi="ar-SA"/>
        </w:rPr>
        <w:t xml:space="preserve"> tested</w:t>
      </w:r>
      <w:r w:rsidR="00361D78">
        <w:rPr>
          <w:lang w:eastAsia="en-AU" w:bidi="ar-SA"/>
        </w:rPr>
        <w:t>. This suggests that the AM-1 glycolipid mixture may be best suited to control yeasts and mo</w:t>
      </w:r>
      <w:r w:rsidR="00353CC4">
        <w:rPr>
          <w:lang w:eastAsia="en-AU" w:bidi="ar-SA"/>
        </w:rPr>
        <w:t>u</w:t>
      </w:r>
      <w:r w:rsidR="00361D78">
        <w:rPr>
          <w:lang w:eastAsia="en-AU" w:bidi="ar-SA"/>
        </w:rPr>
        <w:t>lds in beverages, rather than Gram-positive or Gram-negative bacteria (Sotirova et al, 2008; Mimee et al, 2009)</w:t>
      </w:r>
      <w:r w:rsidR="00EF3B40">
        <w:rPr>
          <w:lang w:eastAsia="en-AU" w:bidi="ar-SA"/>
        </w:rPr>
        <w:t>.</w:t>
      </w:r>
    </w:p>
    <w:p w14:paraId="67998A57" w14:textId="77777777" w:rsidR="00410BFF" w:rsidRPr="00CE2229" w:rsidRDefault="00410BFF" w:rsidP="00CE2229">
      <w:pPr>
        <w:rPr>
          <w:lang w:eastAsia="en-AU" w:bidi="ar-SA"/>
        </w:rPr>
      </w:pPr>
    </w:p>
    <w:p w14:paraId="46C292D8" w14:textId="26D22CBF" w:rsidR="004D2D19" w:rsidRDefault="00126271" w:rsidP="00690206">
      <w:r>
        <w:rPr>
          <w:noProof/>
          <w:lang w:eastAsia="en-GB" w:bidi="ar-SA"/>
        </w:rPr>
        <w:drawing>
          <wp:inline distT="0" distB="0" distL="0" distR="0" wp14:anchorId="67DEFF9A" wp14:editId="196D09BA">
            <wp:extent cx="5218430" cy="3780155"/>
            <wp:effectExtent l="0" t="0" r="1270" b="0"/>
            <wp:docPr id="12" name="Picture 12" descr="Box and whisker plot of the Minimum Inhibitory Concentration in milligrams per litre for Gram-positive bacteria, Molds and Yeasts. The Minimum Inhibitory Concentrations for the Gram-positive bacteria are greater than both the yeast and molds groups." title="Figure 3 MIC values (mg/l) of jelly mushroom glycolipids (AM-1) against Gram-positive spoilage bacteria, yeasts, and molds in Orange Serum Agar (OSA) and malt extract glucose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18430" cy="3780155"/>
                    </a:xfrm>
                    <a:prstGeom prst="rect">
                      <a:avLst/>
                    </a:prstGeom>
                    <a:noFill/>
                  </pic:spPr>
                </pic:pic>
              </a:graphicData>
            </a:graphic>
          </wp:inline>
        </w:drawing>
      </w:r>
    </w:p>
    <w:p w14:paraId="7628C906" w14:textId="0C6B677F" w:rsidR="00635D4F" w:rsidRDefault="00406EB2" w:rsidP="00B30CEA">
      <w:pPr>
        <w:pStyle w:val="FSFigureTitle"/>
      </w:pPr>
      <w:r w:rsidRPr="00343CDA">
        <w:rPr>
          <w:b/>
        </w:rPr>
        <w:t xml:space="preserve">Figure </w:t>
      </w:r>
      <w:r w:rsidRPr="00D45074">
        <w:rPr>
          <w:b/>
        </w:rPr>
        <w:fldChar w:fldCharType="begin"/>
      </w:r>
      <w:r w:rsidRPr="008D042B">
        <w:rPr>
          <w:b/>
        </w:rPr>
        <w:instrText xml:space="preserve"> SEQ Figure \* ARABIC </w:instrText>
      </w:r>
      <w:r w:rsidRPr="00D45074">
        <w:rPr>
          <w:b/>
        </w:rPr>
        <w:fldChar w:fldCharType="separate"/>
      </w:r>
      <w:r w:rsidR="00E202C8">
        <w:rPr>
          <w:b/>
          <w:noProof/>
        </w:rPr>
        <w:t>3</w:t>
      </w:r>
      <w:r w:rsidRPr="00D45074">
        <w:rPr>
          <w:b/>
        </w:rPr>
        <w:fldChar w:fldCharType="end"/>
      </w:r>
      <w:r w:rsidR="00837AED">
        <w:tab/>
      </w:r>
      <w:r w:rsidR="00837AED" w:rsidRPr="0064573F">
        <w:t>MIC values (</w:t>
      </w:r>
      <w:r w:rsidR="00837AED">
        <w:t>m</w:t>
      </w:r>
      <w:r w:rsidR="00837AED" w:rsidRPr="0064573F">
        <w:t xml:space="preserve">g/l) of </w:t>
      </w:r>
      <w:r w:rsidR="00837AED">
        <w:t>jelly mushroom</w:t>
      </w:r>
      <w:r w:rsidR="00837AED" w:rsidRPr="0064573F">
        <w:t xml:space="preserve"> glycolipids (AM-1) against Gram-positive spoilage bacteria, yeasts, and mo</w:t>
      </w:r>
      <w:r w:rsidR="00353CC4">
        <w:t>u</w:t>
      </w:r>
      <w:r w:rsidR="00837AED" w:rsidRPr="0064573F">
        <w:t xml:space="preserve">lds in Orange Serum Agar (OSA) and malt extract glucose media </w:t>
      </w:r>
    </w:p>
    <w:p w14:paraId="42215E32" w14:textId="7C763680" w:rsidR="00E300FC" w:rsidRDefault="00E300FC" w:rsidP="000D20BD">
      <w:pPr>
        <w:pStyle w:val="Heading2"/>
      </w:pPr>
      <w:bookmarkStart w:id="57" w:name="_Toc43217045"/>
      <w:bookmarkStart w:id="58" w:name="_Toc44401530"/>
      <w:bookmarkStart w:id="59" w:name="_Toc45284282"/>
      <w:bookmarkStart w:id="60" w:name="_Toc46929405"/>
      <w:r>
        <w:t>3.</w:t>
      </w:r>
      <w:r w:rsidR="00852133">
        <w:t xml:space="preserve">2 </w:t>
      </w:r>
      <w:r>
        <w:t>Challenge study</w:t>
      </w:r>
      <w:bookmarkEnd w:id="57"/>
      <w:bookmarkEnd w:id="58"/>
      <w:bookmarkEnd w:id="59"/>
      <w:bookmarkEnd w:id="60"/>
    </w:p>
    <w:p w14:paraId="5D30A170" w14:textId="58B78347" w:rsidR="00361D78" w:rsidRDefault="00361D78" w:rsidP="00361D78">
      <w:pPr>
        <w:rPr>
          <w:szCs w:val="20"/>
        </w:rPr>
      </w:pPr>
      <w:r>
        <w:rPr>
          <w:szCs w:val="20"/>
        </w:rPr>
        <w:t xml:space="preserve">Additional data provided by the </w:t>
      </w:r>
      <w:r w:rsidR="00945D55">
        <w:rPr>
          <w:szCs w:val="20"/>
        </w:rPr>
        <w:t xml:space="preserve">applicant </w:t>
      </w:r>
      <w:r>
        <w:rPr>
          <w:szCs w:val="20"/>
        </w:rPr>
        <w:t xml:space="preserve">concerned challenge studies for the AM-1 glycolipid mixture </w:t>
      </w:r>
      <w:r w:rsidR="00945D55">
        <w:rPr>
          <w:szCs w:val="20"/>
        </w:rPr>
        <w:t xml:space="preserve">in </w:t>
      </w:r>
      <w:r>
        <w:rPr>
          <w:szCs w:val="20"/>
        </w:rPr>
        <w:t>commercially produced non-alcoholic beverages. Challenge studies were performed using defined mixtures of yeasts (</w:t>
      </w:r>
      <w:r w:rsidRPr="008A07D0">
        <w:rPr>
          <w:i/>
          <w:szCs w:val="20"/>
        </w:rPr>
        <w:t>Saccharomyces cerevisiae</w:t>
      </w:r>
      <w:r>
        <w:rPr>
          <w:i/>
          <w:szCs w:val="20"/>
        </w:rPr>
        <w:t xml:space="preserve">, </w:t>
      </w:r>
      <w:r w:rsidRPr="008A07D0">
        <w:rPr>
          <w:i/>
          <w:szCs w:val="20"/>
        </w:rPr>
        <w:t>Zygosaccharomyces rouxii</w:t>
      </w:r>
      <w:r>
        <w:rPr>
          <w:i/>
          <w:szCs w:val="20"/>
        </w:rPr>
        <w:t xml:space="preserve"> and </w:t>
      </w:r>
      <w:r w:rsidRPr="008A07D0">
        <w:rPr>
          <w:i/>
          <w:szCs w:val="20"/>
        </w:rPr>
        <w:t>Zygosaccharomyces bailii</w:t>
      </w:r>
      <w:r>
        <w:rPr>
          <w:szCs w:val="20"/>
        </w:rPr>
        <w:t>) or molds (</w:t>
      </w:r>
      <w:r w:rsidRPr="008A07D0">
        <w:rPr>
          <w:i/>
          <w:szCs w:val="20"/>
        </w:rPr>
        <w:t xml:space="preserve">Aspergillus </w:t>
      </w:r>
      <w:r>
        <w:rPr>
          <w:i/>
          <w:szCs w:val="20"/>
        </w:rPr>
        <w:t xml:space="preserve">brasiliensis, </w:t>
      </w:r>
      <w:r w:rsidRPr="008A07D0">
        <w:rPr>
          <w:i/>
          <w:szCs w:val="20"/>
        </w:rPr>
        <w:t>Byssochlamys nivea</w:t>
      </w:r>
      <w:r>
        <w:rPr>
          <w:i/>
          <w:szCs w:val="20"/>
        </w:rPr>
        <w:t xml:space="preserve"> and </w:t>
      </w:r>
      <w:r w:rsidRPr="008A07D0">
        <w:rPr>
          <w:i/>
          <w:szCs w:val="20"/>
        </w:rPr>
        <w:t>Penicillium roqueforti</w:t>
      </w:r>
      <w:r>
        <w:rPr>
          <w:szCs w:val="20"/>
        </w:rPr>
        <w:t>) in</w:t>
      </w:r>
      <w:r w:rsidRPr="00C02815">
        <w:rPr>
          <w:szCs w:val="20"/>
        </w:rPr>
        <w:t xml:space="preserve"> 150 commercially available</w:t>
      </w:r>
      <w:r>
        <w:rPr>
          <w:szCs w:val="20"/>
        </w:rPr>
        <w:t xml:space="preserve"> non-alcoholic </w:t>
      </w:r>
      <w:r w:rsidRPr="00C02815">
        <w:rPr>
          <w:szCs w:val="20"/>
        </w:rPr>
        <w:t>beverages</w:t>
      </w:r>
      <w:r>
        <w:rPr>
          <w:szCs w:val="20"/>
        </w:rPr>
        <w:t>.</w:t>
      </w:r>
    </w:p>
    <w:p w14:paraId="3947B2D7" w14:textId="77777777" w:rsidR="00361D78" w:rsidRPr="008A07D0" w:rsidRDefault="00361D78" w:rsidP="00361D78">
      <w:pPr>
        <w:rPr>
          <w:i/>
          <w:szCs w:val="20"/>
        </w:rPr>
      </w:pPr>
    </w:p>
    <w:p w14:paraId="2DAE3E19" w14:textId="55B51383" w:rsidR="00361D78" w:rsidRDefault="00361D78" w:rsidP="00361D78">
      <w:pPr>
        <w:rPr>
          <w:szCs w:val="20"/>
        </w:rPr>
      </w:pPr>
      <w:r>
        <w:rPr>
          <w:szCs w:val="20"/>
        </w:rPr>
        <w:t xml:space="preserve">The </w:t>
      </w:r>
      <w:r w:rsidRPr="00C02815">
        <w:rPr>
          <w:szCs w:val="20"/>
        </w:rPr>
        <w:t>A</w:t>
      </w:r>
      <w:r>
        <w:rPr>
          <w:szCs w:val="20"/>
        </w:rPr>
        <w:t>M-</w:t>
      </w:r>
      <w:r w:rsidRPr="00C02815">
        <w:rPr>
          <w:szCs w:val="20"/>
        </w:rPr>
        <w:t xml:space="preserve">1 was added to the nonpreserved beverages, usually as </w:t>
      </w:r>
      <w:r w:rsidR="00945D55">
        <w:rPr>
          <w:szCs w:val="20"/>
        </w:rPr>
        <w:t xml:space="preserve">a </w:t>
      </w:r>
      <w:r w:rsidRPr="00C02815">
        <w:rPr>
          <w:szCs w:val="20"/>
        </w:rPr>
        <w:t>certain volume of a 10 mg/l stock</w:t>
      </w:r>
      <w:r>
        <w:rPr>
          <w:szCs w:val="20"/>
        </w:rPr>
        <w:t xml:space="preserve"> </w:t>
      </w:r>
      <w:r w:rsidRPr="00C02815">
        <w:rPr>
          <w:szCs w:val="20"/>
        </w:rPr>
        <w:t>solution in water. The beverage was mixed thoroughly to assu</w:t>
      </w:r>
      <w:r>
        <w:rPr>
          <w:szCs w:val="20"/>
        </w:rPr>
        <w:t>re homogenous dissolution of AM-</w:t>
      </w:r>
      <w:r w:rsidRPr="00C02815">
        <w:rPr>
          <w:szCs w:val="20"/>
        </w:rPr>
        <w:t>1.</w:t>
      </w:r>
      <w:r>
        <w:rPr>
          <w:szCs w:val="20"/>
        </w:rPr>
        <w:t xml:space="preserve"> </w:t>
      </w:r>
      <w:r w:rsidRPr="00C02815">
        <w:rPr>
          <w:szCs w:val="20"/>
        </w:rPr>
        <w:t>Then the test organisms were added either as yeast mixture or mo</w:t>
      </w:r>
      <w:r w:rsidR="00353CC4">
        <w:rPr>
          <w:szCs w:val="20"/>
        </w:rPr>
        <w:t>u</w:t>
      </w:r>
      <w:r w:rsidRPr="00C02815">
        <w:rPr>
          <w:szCs w:val="20"/>
        </w:rPr>
        <w:t>ld mixture. In</w:t>
      </w:r>
      <w:r>
        <w:rPr>
          <w:szCs w:val="20"/>
        </w:rPr>
        <w:t xml:space="preserve"> </w:t>
      </w:r>
      <w:r w:rsidRPr="00C02815">
        <w:rPr>
          <w:szCs w:val="20"/>
        </w:rPr>
        <w:t>both cases, the initial inoculum was ca. 100 cfu/ml as proven by viable cell count</w:t>
      </w:r>
      <w:r w:rsidR="00493167">
        <w:rPr>
          <w:szCs w:val="20"/>
        </w:rPr>
        <w:t>s</w:t>
      </w:r>
      <w:r w:rsidRPr="00C02815">
        <w:rPr>
          <w:szCs w:val="20"/>
        </w:rPr>
        <w:t xml:space="preserve"> at test start.</w:t>
      </w:r>
      <w:r>
        <w:rPr>
          <w:szCs w:val="20"/>
        </w:rPr>
        <w:t xml:space="preserve"> </w:t>
      </w:r>
      <w:r w:rsidRPr="00C02815">
        <w:rPr>
          <w:szCs w:val="20"/>
        </w:rPr>
        <w:t xml:space="preserve">Incubation </w:t>
      </w:r>
      <w:r w:rsidR="00493167">
        <w:rPr>
          <w:szCs w:val="20"/>
        </w:rPr>
        <w:t>of test and growth controls (i.e. the non-</w:t>
      </w:r>
      <w:r w:rsidR="00493167" w:rsidRPr="00C02815">
        <w:rPr>
          <w:szCs w:val="20"/>
        </w:rPr>
        <w:t>preserved beverage)</w:t>
      </w:r>
      <w:r w:rsidR="00493167">
        <w:rPr>
          <w:szCs w:val="20"/>
        </w:rPr>
        <w:t xml:space="preserve"> </w:t>
      </w:r>
      <w:r w:rsidRPr="00C02815">
        <w:rPr>
          <w:szCs w:val="20"/>
        </w:rPr>
        <w:t>was done at ambient temperature for three months</w:t>
      </w:r>
      <w:r w:rsidR="00493167">
        <w:rPr>
          <w:szCs w:val="20"/>
        </w:rPr>
        <w:t>.</w:t>
      </w:r>
    </w:p>
    <w:p w14:paraId="22C99889" w14:textId="77777777" w:rsidR="00361D78" w:rsidRDefault="00361D78" w:rsidP="00361D78">
      <w:pPr>
        <w:rPr>
          <w:szCs w:val="20"/>
        </w:rPr>
      </w:pPr>
    </w:p>
    <w:p w14:paraId="10911AF4" w14:textId="1774F8ED" w:rsidR="00361D78" w:rsidRDefault="00493167" w:rsidP="00361D78">
      <w:pPr>
        <w:rPr>
          <w:szCs w:val="20"/>
        </w:rPr>
      </w:pPr>
      <w:r>
        <w:rPr>
          <w:szCs w:val="20"/>
        </w:rPr>
        <w:t xml:space="preserve">For </w:t>
      </w:r>
      <w:r w:rsidR="00361D78" w:rsidRPr="00C02815">
        <w:rPr>
          <w:szCs w:val="20"/>
        </w:rPr>
        <w:t xml:space="preserve">flasks, tests were carried out in the original container without protection from light. In </w:t>
      </w:r>
      <w:r>
        <w:rPr>
          <w:szCs w:val="20"/>
        </w:rPr>
        <w:t>the</w:t>
      </w:r>
      <w:r w:rsidR="00361D78" w:rsidRPr="00C02815">
        <w:rPr>
          <w:szCs w:val="20"/>
        </w:rPr>
        <w:t xml:space="preserve"> case</w:t>
      </w:r>
      <w:r w:rsidR="00361D78">
        <w:rPr>
          <w:szCs w:val="20"/>
        </w:rPr>
        <w:t xml:space="preserve"> </w:t>
      </w:r>
      <w:r w:rsidR="00361D78" w:rsidRPr="00C02815">
        <w:rPr>
          <w:szCs w:val="20"/>
        </w:rPr>
        <w:t>of cans, Tetra</w:t>
      </w:r>
      <w:r w:rsidR="007B40DB">
        <w:rPr>
          <w:szCs w:val="20"/>
        </w:rPr>
        <w:t>-</w:t>
      </w:r>
      <w:r w:rsidR="00361D78" w:rsidRPr="00C02815">
        <w:rPr>
          <w:szCs w:val="20"/>
        </w:rPr>
        <w:t>Pak® or other non</w:t>
      </w:r>
      <w:r w:rsidR="007B40DB">
        <w:rPr>
          <w:szCs w:val="20"/>
        </w:rPr>
        <w:t>-</w:t>
      </w:r>
      <w:r w:rsidR="00361D78" w:rsidRPr="00C02815">
        <w:rPr>
          <w:szCs w:val="20"/>
        </w:rPr>
        <w:t>closable containers, the beverages were filled into sterile glass</w:t>
      </w:r>
      <w:r w:rsidR="00361D78">
        <w:rPr>
          <w:szCs w:val="20"/>
        </w:rPr>
        <w:t xml:space="preserve"> </w:t>
      </w:r>
      <w:r w:rsidR="00361D78" w:rsidRPr="00C02815">
        <w:rPr>
          <w:szCs w:val="20"/>
        </w:rPr>
        <w:t xml:space="preserve">bottles before </w:t>
      </w:r>
      <w:r>
        <w:rPr>
          <w:szCs w:val="20"/>
        </w:rPr>
        <w:t xml:space="preserve">the </w:t>
      </w:r>
      <w:r w:rsidR="00361D78" w:rsidRPr="00C02815">
        <w:rPr>
          <w:szCs w:val="20"/>
        </w:rPr>
        <w:t>start of the test and protected against light during the test, as would have been the</w:t>
      </w:r>
      <w:r w:rsidR="00361D78">
        <w:rPr>
          <w:szCs w:val="20"/>
        </w:rPr>
        <w:t xml:space="preserve"> </w:t>
      </w:r>
      <w:r w:rsidR="00361D78" w:rsidRPr="00C02815">
        <w:rPr>
          <w:szCs w:val="20"/>
        </w:rPr>
        <w:t>case in the original container.</w:t>
      </w:r>
      <w:r w:rsidR="00361D78">
        <w:rPr>
          <w:szCs w:val="20"/>
        </w:rPr>
        <w:t xml:space="preserve"> </w:t>
      </w:r>
      <w:r w:rsidR="00361D78" w:rsidRPr="00C02815">
        <w:rPr>
          <w:szCs w:val="20"/>
        </w:rPr>
        <w:t>Readout was done visually on a regular basis and – after three months – by determination of the</w:t>
      </w:r>
      <w:r w:rsidR="00361D78">
        <w:rPr>
          <w:szCs w:val="20"/>
        </w:rPr>
        <w:t xml:space="preserve"> </w:t>
      </w:r>
      <w:r w:rsidR="00361D78" w:rsidRPr="00C02815">
        <w:rPr>
          <w:szCs w:val="20"/>
        </w:rPr>
        <w:t xml:space="preserve">viable cell count (cfu/ml) using the spread or pour plate method with </w:t>
      </w:r>
      <w:r w:rsidR="00361D78" w:rsidRPr="00CD2355">
        <w:rPr>
          <w:szCs w:val="20"/>
        </w:rPr>
        <w:t xml:space="preserve">Sabouraud Dextrose Broth </w:t>
      </w:r>
      <w:r w:rsidR="00361D78">
        <w:rPr>
          <w:szCs w:val="20"/>
        </w:rPr>
        <w:t>(</w:t>
      </w:r>
      <w:r w:rsidR="00361D78" w:rsidRPr="00C02815">
        <w:rPr>
          <w:szCs w:val="20"/>
        </w:rPr>
        <w:t>SDB</w:t>
      </w:r>
      <w:r w:rsidR="00361D78">
        <w:rPr>
          <w:szCs w:val="20"/>
        </w:rPr>
        <w:t>)</w:t>
      </w:r>
      <w:r w:rsidR="00361D78" w:rsidRPr="00C02815">
        <w:rPr>
          <w:szCs w:val="20"/>
        </w:rPr>
        <w:t xml:space="preserve"> or OSA agar.</w:t>
      </w:r>
      <w:r w:rsidR="00361D78">
        <w:rPr>
          <w:szCs w:val="20"/>
        </w:rPr>
        <w:t xml:space="preserve"> </w:t>
      </w:r>
    </w:p>
    <w:p w14:paraId="1C5FCA6C" w14:textId="77777777" w:rsidR="00361D78" w:rsidRDefault="00361D78" w:rsidP="00361D78">
      <w:pPr>
        <w:rPr>
          <w:szCs w:val="20"/>
        </w:rPr>
      </w:pPr>
    </w:p>
    <w:p w14:paraId="29C3BC43" w14:textId="2DC174EF" w:rsidR="00361D78" w:rsidRDefault="00361D78" w:rsidP="00361D78">
      <w:pPr>
        <w:rPr>
          <w:szCs w:val="20"/>
        </w:rPr>
      </w:pPr>
      <w:r w:rsidRPr="00C02815">
        <w:rPr>
          <w:szCs w:val="20"/>
        </w:rPr>
        <w:t>Results</w:t>
      </w:r>
      <w:r>
        <w:rPr>
          <w:szCs w:val="20"/>
        </w:rPr>
        <w:t xml:space="preserve"> suggest</w:t>
      </w:r>
      <w:r w:rsidRPr="00C02815">
        <w:rPr>
          <w:szCs w:val="20"/>
        </w:rPr>
        <w:t xml:space="preserve"> that the minimu</w:t>
      </w:r>
      <w:r>
        <w:rPr>
          <w:szCs w:val="20"/>
        </w:rPr>
        <w:t>m effective concentration of AM-</w:t>
      </w:r>
      <w:r w:rsidRPr="00C02815">
        <w:rPr>
          <w:szCs w:val="20"/>
        </w:rPr>
        <w:t>1 depends on the nature of the</w:t>
      </w:r>
      <w:r>
        <w:rPr>
          <w:szCs w:val="20"/>
        </w:rPr>
        <w:t xml:space="preserve"> </w:t>
      </w:r>
      <w:r w:rsidRPr="00C02815">
        <w:rPr>
          <w:szCs w:val="20"/>
        </w:rPr>
        <w:t>beverage</w:t>
      </w:r>
      <w:r w:rsidR="000A7E38">
        <w:rPr>
          <w:szCs w:val="20"/>
        </w:rPr>
        <w:t>, including juice content and turbidity</w:t>
      </w:r>
      <w:r w:rsidR="00E61AB6">
        <w:rPr>
          <w:szCs w:val="20"/>
        </w:rPr>
        <w:t xml:space="preserve"> </w:t>
      </w:r>
      <w:r w:rsidR="00CB28EC">
        <w:rPr>
          <w:szCs w:val="20"/>
        </w:rPr>
        <w:t>(</w:t>
      </w:r>
      <w:r w:rsidRPr="00C02815">
        <w:rPr>
          <w:szCs w:val="20"/>
        </w:rPr>
        <w:t xml:space="preserve">summarized </w:t>
      </w:r>
      <w:r>
        <w:rPr>
          <w:szCs w:val="20"/>
        </w:rPr>
        <w:t xml:space="preserve">in </w:t>
      </w:r>
      <w:r w:rsidR="00015A57" w:rsidRPr="007B2D8F">
        <w:rPr>
          <w:b/>
          <w:szCs w:val="20"/>
        </w:rPr>
        <w:t xml:space="preserve">Figure </w:t>
      </w:r>
      <w:r w:rsidR="007B40DB" w:rsidRPr="007B2D8F">
        <w:rPr>
          <w:b/>
          <w:szCs w:val="20"/>
        </w:rPr>
        <w:t>4</w:t>
      </w:r>
      <w:r w:rsidR="00CB28EC" w:rsidRPr="00CB28EC">
        <w:rPr>
          <w:szCs w:val="20"/>
        </w:rPr>
        <w:t>)</w:t>
      </w:r>
      <w:r>
        <w:rPr>
          <w:szCs w:val="20"/>
        </w:rPr>
        <w:t>.</w:t>
      </w:r>
      <w:r w:rsidR="000A7E38">
        <w:rPr>
          <w:szCs w:val="20"/>
        </w:rPr>
        <w:t xml:space="preserve"> </w:t>
      </w:r>
      <w:r w:rsidR="00437175">
        <w:rPr>
          <w:szCs w:val="20"/>
        </w:rPr>
        <w:t xml:space="preserve">The lowest use levels </w:t>
      </w:r>
      <w:r w:rsidR="00424CAE">
        <w:rPr>
          <w:szCs w:val="20"/>
        </w:rPr>
        <w:t xml:space="preserve">for the commercially available non-alcoholic beverages </w:t>
      </w:r>
      <w:r w:rsidR="00437175">
        <w:rPr>
          <w:szCs w:val="20"/>
        </w:rPr>
        <w:t xml:space="preserve">were found for clear fruit drinks (3 – 5 mg/l), </w:t>
      </w:r>
      <w:r w:rsidR="007B40DB">
        <w:rPr>
          <w:szCs w:val="20"/>
        </w:rPr>
        <w:t>with the highest levels in beverages containing turbid juices (up</w:t>
      </w:r>
      <w:r w:rsidR="00995B9F">
        <w:rPr>
          <w:szCs w:val="20"/>
        </w:rPr>
        <w:t xml:space="preserve"> </w:t>
      </w:r>
      <w:r w:rsidR="007B40DB">
        <w:rPr>
          <w:szCs w:val="20"/>
        </w:rPr>
        <w:t>to 100 mg/l).</w:t>
      </w:r>
    </w:p>
    <w:p w14:paraId="2295EE02" w14:textId="4387CEEA" w:rsidR="006D3DE5" w:rsidRDefault="006D3DE5" w:rsidP="00690206"/>
    <w:p w14:paraId="4E8B34E3" w14:textId="7A1E3098" w:rsidR="0005677C" w:rsidRDefault="0005677C" w:rsidP="00913077">
      <w:pPr>
        <w:pStyle w:val="FSFigureTitle"/>
      </w:pPr>
      <w:r>
        <w:rPr>
          <w:noProof/>
          <w:lang w:eastAsia="en-GB" w:bidi="ar-SA"/>
        </w:rPr>
        <w:drawing>
          <wp:inline distT="0" distB="0" distL="0" distR="0" wp14:anchorId="7520D784" wp14:editId="39544EDA">
            <wp:extent cx="5023485" cy="3548380"/>
            <wp:effectExtent l="0" t="0" r="5715" b="0"/>
            <wp:docPr id="11" name="Picture 11" descr="The figure has the typical AM-1 use levels for different types of non-alcoholic beverages. The lowest concentration were found for clear fruit juices, fruit drinks and ready-to-drink teas. The highest concentrations were found for beverages which contained turbid fruit juices and fruit drinks.  " title="Figure 4 Typical AM-1 use levels in different beverage types based on yeast and mold challenge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23485" cy="3548380"/>
                    </a:xfrm>
                    <a:prstGeom prst="rect">
                      <a:avLst/>
                    </a:prstGeom>
                    <a:noFill/>
                  </pic:spPr>
                </pic:pic>
              </a:graphicData>
            </a:graphic>
          </wp:inline>
        </w:drawing>
      </w:r>
    </w:p>
    <w:p w14:paraId="327550A2" w14:textId="314CB31B" w:rsidR="00015A57" w:rsidRDefault="000A7E38" w:rsidP="00690206">
      <w:pPr>
        <w:rPr>
          <w:rFonts w:cstheme="minorHAnsi"/>
          <w:bCs/>
        </w:rPr>
      </w:pPr>
      <w:r>
        <w:rPr>
          <w:rFonts w:cstheme="minorHAnsi"/>
          <w:bCs/>
        </w:rPr>
        <w:t xml:space="preserve">CSD = </w:t>
      </w:r>
      <w:r>
        <w:rPr>
          <w:rFonts w:cstheme="minorHAnsi"/>
        </w:rPr>
        <w:t>Carbonated soft drinks</w:t>
      </w:r>
    </w:p>
    <w:p w14:paraId="6EA1A320" w14:textId="77777777" w:rsidR="00837AED" w:rsidRDefault="00837AED" w:rsidP="00690206">
      <w:pPr>
        <w:rPr>
          <w:b/>
        </w:rPr>
      </w:pPr>
    </w:p>
    <w:p w14:paraId="036A906B" w14:textId="6CAB3CFF" w:rsidR="00015A57" w:rsidRPr="00837AED" w:rsidRDefault="00406EB2" w:rsidP="00690206">
      <w:pPr>
        <w:rPr>
          <w:i/>
        </w:rPr>
      </w:pPr>
      <w:r w:rsidRPr="00406EB2">
        <w:rPr>
          <w:b/>
          <w:i/>
        </w:rPr>
        <w:t xml:space="preserve">Figure </w:t>
      </w:r>
      <w:r w:rsidRPr="00406EB2">
        <w:rPr>
          <w:b/>
          <w:i/>
        </w:rPr>
        <w:fldChar w:fldCharType="begin"/>
      </w:r>
      <w:r w:rsidRPr="00406EB2">
        <w:rPr>
          <w:b/>
          <w:i/>
        </w:rPr>
        <w:instrText xml:space="preserve"> SEQ Figure \* ARABIC </w:instrText>
      </w:r>
      <w:r w:rsidRPr="00406EB2">
        <w:rPr>
          <w:b/>
          <w:i/>
        </w:rPr>
        <w:fldChar w:fldCharType="separate"/>
      </w:r>
      <w:r w:rsidR="00E202C8">
        <w:rPr>
          <w:b/>
          <w:i/>
          <w:noProof/>
        </w:rPr>
        <w:t>4</w:t>
      </w:r>
      <w:r w:rsidRPr="00406EB2">
        <w:rPr>
          <w:b/>
          <w:i/>
        </w:rPr>
        <w:fldChar w:fldCharType="end"/>
      </w:r>
      <w:r w:rsidR="00837AED" w:rsidRPr="00837AED">
        <w:rPr>
          <w:i/>
        </w:rPr>
        <w:tab/>
        <w:t>Typical AM-1 use levels in different beverage types based on yeast and mo</w:t>
      </w:r>
      <w:r w:rsidR="00353CC4">
        <w:rPr>
          <w:i/>
        </w:rPr>
        <w:t>u</w:t>
      </w:r>
      <w:r w:rsidR="00837AED" w:rsidRPr="00837AED">
        <w:rPr>
          <w:i/>
        </w:rPr>
        <w:t>ld challenge studies.</w:t>
      </w:r>
    </w:p>
    <w:p w14:paraId="18B57F10" w14:textId="63345FBF" w:rsidR="006D3DE5" w:rsidRDefault="006D3DE5" w:rsidP="000D20BD">
      <w:pPr>
        <w:pStyle w:val="Heading2"/>
      </w:pPr>
      <w:bookmarkStart w:id="61" w:name="_Toc43217046"/>
      <w:bookmarkStart w:id="62" w:name="_Toc44401531"/>
      <w:bookmarkStart w:id="63" w:name="_Toc45284283"/>
      <w:bookmarkStart w:id="64" w:name="_Toc46929406"/>
      <w:r>
        <w:t xml:space="preserve">3.3 </w:t>
      </w:r>
      <w:r w:rsidR="00BD5EF5">
        <w:t>Discussion and conclusion</w:t>
      </w:r>
      <w:bookmarkEnd w:id="61"/>
      <w:bookmarkEnd w:id="62"/>
      <w:bookmarkEnd w:id="63"/>
      <w:bookmarkEnd w:id="64"/>
    </w:p>
    <w:p w14:paraId="53281E96" w14:textId="75EF5069" w:rsidR="00F0396E" w:rsidRDefault="00910358" w:rsidP="00690206">
      <w:r w:rsidRPr="00910358">
        <w:t xml:space="preserve">The submitted data, together with information located from other sources, are considered suitable to assess the </w:t>
      </w:r>
      <w:r>
        <w:t>efficacy</w:t>
      </w:r>
      <w:r w:rsidRPr="00910358">
        <w:t xml:space="preserve"> of </w:t>
      </w:r>
      <w:r w:rsidR="00003B29" w:rsidRPr="00003B29">
        <w:t>jelly mushroom glycolipids</w:t>
      </w:r>
      <w:r w:rsidRPr="00910358">
        <w:t>.</w:t>
      </w:r>
    </w:p>
    <w:p w14:paraId="5BE2514C" w14:textId="7DB2DF3E" w:rsidR="00F0396E" w:rsidRDefault="00F0396E" w:rsidP="00690206"/>
    <w:p w14:paraId="522B5152" w14:textId="796708F2" w:rsidR="00910358" w:rsidRDefault="00910358" w:rsidP="00690206">
      <w:r>
        <w:t xml:space="preserve">Results of </w:t>
      </w:r>
      <w:r w:rsidRPr="005029AA">
        <w:rPr>
          <w:i/>
        </w:rPr>
        <w:t>in vitro</w:t>
      </w:r>
      <w:r>
        <w:t xml:space="preserve"> studies suggest that there are important differences in the response of microorganisms to </w:t>
      </w:r>
      <w:r w:rsidR="00003B29" w:rsidRPr="00003B29">
        <w:t>jelly mushroom glycolipids</w:t>
      </w:r>
      <w:r>
        <w:t xml:space="preserve">. Gram-negative bacteria are the most resistant, followed by Gram-positive bacteria. </w:t>
      </w:r>
      <w:r w:rsidR="007B40DB">
        <w:t>Yeast and mo</w:t>
      </w:r>
      <w:r w:rsidR="00353CC4">
        <w:t>u</w:t>
      </w:r>
      <w:r w:rsidR="007B40DB">
        <w:t>lds are the least resistant of the microorganisms, based on measured MICs</w:t>
      </w:r>
      <w:r>
        <w:t>.</w:t>
      </w:r>
    </w:p>
    <w:p w14:paraId="67B9AFD7" w14:textId="77777777" w:rsidR="00910358" w:rsidRDefault="00910358" w:rsidP="00690206"/>
    <w:p w14:paraId="47774125" w14:textId="05FCF268" w:rsidR="007A5872" w:rsidRDefault="00910358" w:rsidP="00690206">
      <w:r w:rsidRPr="00910358">
        <w:t>The exact mechanism for the mode of action for glycolipids has</w:t>
      </w:r>
      <w:r w:rsidR="00CB28EC">
        <w:t xml:space="preserve"> not</w:t>
      </w:r>
      <w:r w:rsidR="00CB28EC" w:rsidRPr="00910358">
        <w:t xml:space="preserve"> </w:t>
      </w:r>
      <w:r w:rsidRPr="00910358">
        <w:t xml:space="preserve">been established. The results of </w:t>
      </w:r>
      <w:r w:rsidRPr="005029AA">
        <w:rPr>
          <w:i/>
        </w:rPr>
        <w:t>in vitro</w:t>
      </w:r>
      <w:r w:rsidRPr="00910358">
        <w:t xml:space="preserve"> studies suggest that the surfactant properties glycolipids alters the cytoplasmic membrane leading to increased permeability and leakage of cell contents. The metabolism of the cells is affected (</w:t>
      </w:r>
      <w:r w:rsidR="00353CC4" w:rsidRPr="00910358">
        <w:t>e.g.</w:t>
      </w:r>
      <w:r w:rsidRPr="00910358">
        <w:t xml:space="preserve"> inhibition of acid production from glucose) and cell death.</w:t>
      </w:r>
    </w:p>
    <w:p w14:paraId="100D5733" w14:textId="5A573E10" w:rsidR="00437175" w:rsidRDefault="00437175" w:rsidP="00690206"/>
    <w:p w14:paraId="3FB611AC" w14:textId="00CF1438" w:rsidR="00A000ED" w:rsidRDefault="00437175" w:rsidP="00690206">
      <w:r>
        <w:t xml:space="preserve">Challenge studies using defined mixtures of yeasts and </w:t>
      </w:r>
      <w:r w:rsidDel="00E16AFB">
        <w:t>mo</w:t>
      </w:r>
      <w:r w:rsidR="00353CC4">
        <w:t>u</w:t>
      </w:r>
      <w:r w:rsidDel="00E16AFB">
        <w:t>lds</w:t>
      </w:r>
      <w:r>
        <w:t xml:space="preserve"> highlighted differences between non-alcoholic beverage types.</w:t>
      </w:r>
    </w:p>
    <w:p w14:paraId="349437FC" w14:textId="43C04AFB" w:rsidR="00B30CEA" w:rsidRDefault="00B30CEA" w:rsidP="00BD6BC5">
      <w:bookmarkStart w:id="65" w:name="_Toc16234327"/>
      <w:bookmarkStart w:id="66" w:name="_Toc43217047"/>
      <w:bookmarkStart w:id="67" w:name="_Toc44401532"/>
    </w:p>
    <w:p w14:paraId="43096576" w14:textId="7A16CC87" w:rsidR="00167DC0" w:rsidRDefault="00167DC0" w:rsidP="00BD6BC5">
      <w:r>
        <w:t xml:space="preserve">FSANZ concludes that the addition of </w:t>
      </w:r>
      <w:r w:rsidR="00654A42">
        <w:t xml:space="preserve">jelly mushroom glycolipids at the proposed </w:t>
      </w:r>
      <w:r w:rsidR="00BD6BC5">
        <w:t xml:space="preserve">use </w:t>
      </w:r>
      <w:r w:rsidR="00654A42">
        <w:t xml:space="preserve">levels </w:t>
      </w:r>
      <w:r w:rsidR="00723F3A">
        <w:t xml:space="preserve">is effective </w:t>
      </w:r>
      <w:r w:rsidR="00BD6BC5">
        <w:t xml:space="preserve">as a preservative </w:t>
      </w:r>
      <w:r w:rsidR="00723F3A">
        <w:t>against yeasts and moulds in non-alcoholic beverages.</w:t>
      </w:r>
    </w:p>
    <w:p w14:paraId="20D0769C" w14:textId="77777777" w:rsidR="00B30CEA" w:rsidRDefault="00B30CEA">
      <w:pPr>
        <w:widowControl/>
        <w:rPr>
          <w:sz w:val="20"/>
          <w:szCs w:val="20"/>
        </w:rPr>
      </w:pPr>
      <w:r>
        <w:br w:type="page"/>
      </w:r>
    </w:p>
    <w:p w14:paraId="58E07C08" w14:textId="2A15E7E0" w:rsidR="00A000ED" w:rsidRDefault="001A57F4" w:rsidP="00A000ED">
      <w:pPr>
        <w:pStyle w:val="Heading1"/>
      </w:pPr>
      <w:bookmarkStart w:id="68" w:name="_Toc45284284"/>
      <w:bookmarkStart w:id="69" w:name="_Toc46929407"/>
      <w:r>
        <w:t>4</w:t>
      </w:r>
      <w:r w:rsidR="00A000ED" w:rsidRPr="00B13258">
        <w:tab/>
        <w:t>Safety assessment</w:t>
      </w:r>
      <w:bookmarkEnd w:id="65"/>
      <w:bookmarkEnd w:id="66"/>
      <w:bookmarkEnd w:id="67"/>
      <w:bookmarkEnd w:id="68"/>
      <w:bookmarkEnd w:id="69"/>
    </w:p>
    <w:p w14:paraId="60CA2E48" w14:textId="31CF451C" w:rsidR="00AA2C10" w:rsidRPr="00AA2C10" w:rsidRDefault="001A57F4" w:rsidP="000D20BD">
      <w:pPr>
        <w:pStyle w:val="Heading2"/>
      </w:pPr>
      <w:bookmarkStart w:id="70" w:name="_Toc43217048"/>
      <w:bookmarkStart w:id="71" w:name="_Toc44401533"/>
      <w:bookmarkStart w:id="72" w:name="_Toc45284285"/>
      <w:bookmarkStart w:id="73" w:name="_Toc46929408"/>
      <w:r>
        <w:t>4</w:t>
      </w:r>
      <w:r w:rsidR="00AA2C10" w:rsidRPr="00AA2C10">
        <w:t>.1 Background</w:t>
      </w:r>
      <w:bookmarkEnd w:id="70"/>
      <w:bookmarkEnd w:id="71"/>
      <w:bookmarkEnd w:id="72"/>
      <w:bookmarkEnd w:id="73"/>
    </w:p>
    <w:p w14:paraId="2EEA1A10" w14:textId="6D051F04" w:rsidR="00A445C6" w:rsidRDefault="001A57F4" w:rsidP="00B30CEA">
      <w:pPr>
        <w:pStyle w:val="Heading3"/>
      </w:pPr>
      <w:bookmarkStart w:id="74" w:name="_Toc43217049"/>
      <w:bookmarkStart w:id="75" w:name="_Toc44401534"/>
      <w:bookmarkStart w:id="76" w:name="_Toc45284286"/>
      <w:bookmarkStart w:id="77" w:name="_Toc46929409"/>
      <w:r>
        <w:t>4</w:t>
      </w:r>
      <w:r w:rsidR="00AA2C10" w:rsidRPr="00AA2C10">
        <w:t>.1.1 Evaluation of the submitted data</w:t>
      </w:r>
      <w:bookmarkEnd w:id="74"/>
      <w:bookmarkEnd w:id="75"/>
      <w:bookmarkEnd w:id="76"/>
      <w:bookmarkEnd w:id="77"/>
      <w:r w:rsidR="00A445C6" w:rsidRPr="00A445C6">
        <w:t xml:space="preserve"> </w:t>
      </w:r>
    </w:p>
    <w:p w14:paraId="5FD15E0C" w14:textId="50FBF6BE" w:rsidR="00A445C6" w:rsidRPr="001D2C98" w:rsidRDefault="00A445C6" w:rsidP="00A445C6">
      <w:r w:rsidRPr="00D03F63">
        <w:t xml:space="preserve">FSANZ has assessed the submitted evidence on the safety of </w:t>
      </w:r>
      <w:r w:rsidR="00003B29" w:rsidRPr="00003B29">
        <w:t xml:space="preserve">jelly mushroom glycolipids </w:t>
      </w:r>
      <w:r w:rsidRPr="001D2C98">
        <w:t xml:space="preserve">and information from other sources. </w:t>
      </w:r>
      <w:r w:rsidRPr="00D03F63">
        <w:t>The assessed data include</w:t>
      </w:r>
      <w:r w:rsidR="001C3C6F">
        <w:t>d</w:t>
      </w:r>
      <w:r w:rsidRPr="00D03F63">
        <w:t xml:space="preserve"> information on toxicokinetics and metabolism, genotoxicity,</w:t>
      </w:r>
      <w:r w:rsidR="00D13F5D">
        <w:t xml:space="preserve"> </w:t>
      </w:r>
      <w:r w:rsidR="001D2C98">
        <w:t xml:space="preserve">and </w:t>
      </w:r>
      <w:r w:rsidRPr="00D03F63">
        <w:t>toxicity in laboratory animals</w:t>
      </w:r>
      <w:r w:rsidR="001D2C98">
        <w:t xml:space="preserve">. </w:t>
      </w:r>
      <w:r w:rsidRPr="00D03F63">
        <w:t>The submitted data</w:t>
      </w:r>
      <w:r>
        <w:t xml:space="preserve"> </w:t>
      </w:r>
      <w:r w:rsidRPr="001D2C98">
        <w:t xml:space="preserve">are considered suitable to assess the hazard of </w:t>
      </w:r>
      <w:r w:rsidR="00003B29" w:rsidRPr="00003B29">
        <w:t>jelly mushroom glycolipids</w:t>
      </w:r>
      <w:r w:rsidRPr="001D2C98">
        <w:t>.</w:t>
      </w:r>
    </w:p>
    <w:p w14:paraId="0AFCCE4F" w14:textId="25D6A54D" w:rsidR="00AA2C10" w:rsidRDefault="001A57F4" w:rsidP="00A9190F">
      <w:pPr>
        <w:pStyle w:val="Heading3"/>
      </w:pPr>
      <w:bookmarkStart w:id="78" w:name="_Toc43217050"/>
      <w:bookmarkStart w:id="79" w:name="_Toc44401535"/>
      <w:bookmarkStart w:id="80" w:name="_Toc45284287"/>
      <w:bookmarkStart w:id="81" w:name="_Toc46929410"/>
      <w:r>
        <w:t>4</w:t>
      </w:r>
      <w:r w:rsidR="00AA2C10" w:rsidRPr="00AA2C10">
        <w:t xml:space="preserve">.1.2 Characteristics of </w:t>
      </w:r>
      <w:r w:rsidR="00003B29">
        <w:t>jelly mushroom glycolipids</w:t>
      </w:r>
      <w:bookmarkEnd w:id="78"/>
      <w:bookmarkEnd w:id="79"/>
      <w:bookmarkEnd w:id="80"/>
      <w:bookmarkEnd w:id="81"/>
    </w:p>
    <w:p w14:paraId="5643A3E6" w14:textId="633AD510" w:rsidR="004E42A1" w:rsidRDefault="001D5992" w:rsidP="0097474C">
      <w:r w:rsidRPr="00D03F63">
        <w:t xml:space="preserve">The chemical characteristics of </w:t>
      </w:r>
      <w:r w:rsidR="00003B29" w:rsidRPr="00003B29">
        <w:t xml:space="preserve">jelly mushroom glycolipids </w:t>
      </w:r>
      <w:r w:rsidRPr="00D03F63">
        <w:t xml:space="preserve">are </w:t>
      </w:r>
      <w:r w:rsidR="004E42A1">
        <w:t>discussed in detail</w:t>
      </w:r>
      <w:r w:rsidRPr="00D03F63">
        <w:t xml:space="preserve"> in Section 2. </w:t>
      </w:r>
      <w:r w:rsidR="00003B29">
        <w:t>J</w:t>
      </w:r>
      <w:r w:rsidR="00003B29" w:rsidRPr="00003B29">
        <w:t xml:space="preserve">elly mushroom glycolipids </w:t>
      </w:r>
      <w:r w:rsidR="00003B29">
        <w:t xml:space="preserve">are </w:t>
      </w:r>
      <w:r w:rsidR="0097474C">
        <w:t xml:space="preserve">a glycolipid mixture obtained via fermentation of glucose by the edible jelly fungus </w:t>
      </w:r>
      <w:r w:rsidR="0097474C" w:rsidRPr="0097474C">
        <w:rPr>
          <w:i/>
        </w:rPr>
        <w:t>Dacryopinax spathularia</w:t>
      </w:r>
      <w:r w:rsidRPr="001D5992">
        <w:rPr>
          <w:color w:val="FF0000"/>
        </w:rPr>
        <w:t xml:space="preserve">. </w:t>
      </w:r>
      <w:r w:rsidRPr="00D03F63">
        <w:t xml:space="preserve">Other substances that may be present </w:t>
      </w:r>
      <w:r w:rsidR="00DA268D">
        <w:t xml:space="preserve">in small amounts </w:t>
      </w:r>
      <w:r w:rsidRPr="00D03F63">
        <w:t xml:space="preserve">include </w:t>
      </w:r>
      <w:r w:rsidR="00D13F5D">
        <w:t xml:space="preserve">proteins, lipids, </w:t>
      </w:r>
      <w:r w:rsidR="0097474C">
        <w:t xml:space="preserve">and sodium chloride. </w:t>
      </w:r>
    </w:p>
    <w:p w14:paraId="34208FDA" w14:textId="77777777" w:rsidR="004E42A1" w:rsidRDefault="004E42A1" w:rsidP="004E42A1"/>
    <w:p w14:paraId="6511C4D1" w14:textId="64B59ADB" w:rsidR="004E42A1" w:rsidDel="004E4B96" w:rsidRDefault="001A57F4" w:rsidP="000D20BD">
      <w:pPr>
        <w:pStyle w:val="Heading2"/>
      </w:pPr>
      <w:bookmarkStart w:id="82" w:name="_Toc43217051"/>
      <w:bookmarkStart w:id="83" w:name="_Toc44401536"/>
      <w:bookmarkStart w:id="84" w:name="_Toc45284288"/>
      <w:bookmarkStart w:id="85" w:name="_Toc46929411"/>
      <w:r>
        <w:t>4</w:t>
      </w:r>
      <w:r w:rsidR="00AA2C10" w:rsidRPr="00AA2C10">
        <w:t>.2 Toxicological Data</w:t>
      </w:r>
      <w:bookmarkEnd w:id="82"/>
      <w:bookmarkEnd w:id="83"/>
      <w:bookmarkEnd w:id="84"/>
      <w:bookmarkEnd w:id="85"/>
    </w:p>
    <w:p w14:paraId="11158D1B" w14:textId="7A16DBC5" w:rsidR="00AA2C10" w:rsidRDefault="001A57F4" w:rsidP="00A9190F">
      <w:pPr>
        <w:pStyle w:val="Heading3"/>
      </w:pPr>
      <w:bookmarkStart w:id="86" w:name="_Toc43217052"/>
      <w:bookmarkStart w:id="87" w:name="_Toc44401537"/>
      <w:bookmarkStart w:id="88" w:name="_Toc45284289"/>
      <w:bookmarkStart w:id="89" w:name="_Toc46929412"/>
      <w:r>
        <w:t>4</w:t>
      </w:r>
      <w:r w:rsidR="00AA2C10" w:rsidRPr="00AA2C10">
        <w:t xml:space="preserve">.2.1 </w:t>
      </w:r>
      <w:r w:rsidR="00BD1F8E">
        <w:t>Identity and h</w:t>
      </w:r>
      <w:r w:rsidR="00BD1F8E" w:rsidRPr="00AA2C10">
        <w:t xml:space="preserve">istory </w:t>
      </w:r>
      <w:r w:rsidR="00AA2C10" w:rsidRPr="00AA2C10">
        <w:t>of safe use</w:t>
      </w:r>
      <w:bookmarkEnd w:id="86"/>
      <w:bookmarkEnd w:id="87"/>
      <w:bookmarkEnd w:id="88"/>
      <w:bookmarkEnd w:id="89"/>
    </w:p>
    <w:p w14:paraId="3D862DD3" w14:textId="77777777" w:rsidR="002B7680" w:rsidRDefault="00BD1F8E" w:rsidP="002B7680">
      <w:pPr>
        <w:rPr>
          <w:color w:val="000000" w:themeColor="text1"/>
          <w:lang w:eastAsia="en-AU"/>
        </w:rPr>
      </w:pPr>
      <w:r>
        <w:rPr>
          <w:bCs/>
          <w:color w:val="000000" w:themeColor="text1"/>
          <w:lang w:eastAsia="en-AU"/>
        </w:rPr>
        <w:t>The applicant established the identity</w:t>
      </w:r>
      <w:r w:rsidR="00087F02">
        <w:rPr>
          <w:bCs/>
          <w:color w:val="000000" w:themeColor="text1"/>
          <w:lang w:eastAsia="en-AU"/>
        </w:rPr>
        <w:t xml:space="preserve"> of</w:t>
      </w:r>
      <w:r>
        <w:rPr>
          <w:bCs/>
          <w:color w:val="000000" w:themeColor="text1"/>
          <w:lang w:eastAsia="en-AU"/>
        </w:rPr>
        <w:t xml:space="preserve"> the organism using a combination of morphological, molecular phylogenetic and chemotaxonomic methodologies. Morphological characteristics and secondary chemical metabolites of MUCL 53181 were confirmed against an authentic strain of </w:t>
      </w:r>
      <w:r w:rsidRPr="00D43706">
        <w:rPr>
          <w:bCs/>
          <w:i/>
          <w:color w:val="000000" w:themeColor="text1"/>
          <w:lang w:eastAsia="en-AU"/>
        </w:rPr>
        <w:t>D</w:t>
      </w:r>
      <w:r>
        <w:rPr>
          <w:bCs/>
          <w:color w:val="000000" w:themeColor="text1"/>
          <w:lang w:eastAsia="en-AU"/>
        </w:rPr>
        <w:t xml:space="preserve">. </w:t>
      </w:r>
      <w:r w:rsidRPr="00D43706">
        <w:rPr>
          <w:bCs/>
          <w:i/>
          <w:color w:val="000000" w:themeColor="text1"/>
          <w:lang w:eastAsia="en-AU"/>
        </w:rPr>
        <w:t>spathularia</w:t>
      </w:r>
      <w:r>
        <w:rPr>
          <w:bCs/>
          <w:color w:val="000000" w:themeColor="text1"/>
          <w:lang w:eastAsia="en-AU"/>
        </w:rPr>
        <w:t xml:space="preserve">, </w:t>
      </w:r>
      <w:r w:rsidRPr="00D43706">
        <w:rPr>
          <w:bCs/>
          <w:color w:val="000000" w:themeColor="text1"/>
          <w:lang w:eastAsia="en-AU"/>
        </w:rPr>
        <w:t>CBS 197.63</w:t>
      </w:r>
      <w:r>
        <w:rPr>
          <w:bCs/>
          <w:color w:val="000000" w:themeColor="text1"/>
          <w:lang w:eastAsia="en-AU"/>
        </w:rPr>
        <w:t xml:space="preserve"> </w:t>
      </w:r>
      <w:r w:rsidRPr="00D43706">
        <w:rPr>
          <w:bCs/>
          <w:color w:val="000000" w:themeColor="text1"/>
          <w:lang w:eastAsia="en-AU"/>
        </w:rPr>
        <w:t>obtained from the Centrallbur</w:t>
      </w:r>
      <w:r>
        <w:rPr>
          <w:bCs/>
          <w:color w:val="000000" w:themeColor="text1"/>
          <w:lang w:eastAsia="en-AU"/>
        </w:rPr>
        <w:t>eau voor Schimmelcultures (CBS), Utrecht in</w:t>
      </w:r>
      <w:r w:rsidRPr="00D43706">
        <w:rPr>
          <w:bCs/>
          <w:color w:val="000000" w:themeColor="text1"/>
          <w:lang w:eastAsia="en-AU"/>
        </w:rPr>
        <w:t xml:space="preserve"> The Netherlands</w:t>
      </w:r>
      <w:r>
        <w:rPr>
          <w:bCs/>
          <w:color w:val="000000" w:themeColor="text1"/>
          <w:lang w:eastAsia="en-AU"/>
        </w:rPr>
        <w:t xml:space="preserve">. Molecular phylogenetic identification against CBS 197.63 was performed using </w:t>
      </w:r>
      <w:r w:rsidRPr="00D43706">
        <w:rPr>
          <w:bCs/>
          <w:color w:val="000000" w:themeColor="text1"/>
          <w:lang w:eastAsia="en-AU"/>
        </w:rPr>
        <w:t xml:space="preserve">large subunit ribosomal </w:t>
      </w:r>
      <w:r w:rsidRPr="00D43706">
        <w:rPr>
          <w:color w:val="000000" w:themeColor="text1"/>
          <w:lang w:eastAsia="en-AU"/>
        </w:rPr>
        <w:t>DNA</w:t>
      </w:r>
      <w:r>
        <w:rPr>
          <w:color w:val="000000" w:themeColor="text1"/>
          <w:lang w:eastAsia="en-AU"/>
        </w:rPr>
        <w:t xml:space="preserve"> (LSU rDNA) sequencing. The two sequences had a 98% identity. A phylogenetic tree analysis determined that</w:t>
      </w:r>
      <w:r w:rsidRPr="006E0ADB">
        <w:rPr>
          <w:color w:val="000000" w:themeColor="text1"/>
          <w:lang w:eastAsia="en-AU"/>
        </w:rPr>
        <w:t xml:space="preserve"> MUCL 53181</w:t>
      </w:r>
      <w:r>
        <w:rPr>
          <w:color w:val="000000" w:themeColor="text1"/>
          <w:lang w:eastAsia="en-AU"/>
        </w:rPr>
        <w:t xml:space="preserve"> clustered with </w:t>
      </w:r>
      <w:r w:rsidRPr="006E0ADB">
        <w:rPr>
          <w:color w:val="000000" w:themeColor="text1"/>
          <w:lang w:eastAsia="en-AU"/>
        </w:rPr>
        <w:t xml:space="preserve">CBS 197.63 </w:t>
      </w:r>
      <w:r>
        <w:rPr>
          <w:color w:val="000000" w:themeColor="text1"/>
          <w:lang w:eastAsia="en-AU"/>
        </w:rPr>
        <w:t xml:space="preserve">strain </w:t>
      </w:r>
      <w:r w:rsidRPr="006E0ADB">
        <w:rPr>
          <w:color w:val="000000" w:themeColor="text1"/>
          <w:lang w:eastAsia="en-AU"/>
        </w:rPr>
        <w:t>and other sequences of Dacrymycetaceae from public databases</w:t>
      </w:r>
      <w:r>
        <w:rPr>
          <w:color w:val="000000" w:themeColor="text1"/>
          <w:lang w:eastAsia="en-AU"/>
        </w:rPr>
        <w:t xml:space="preserve">. This result was independently confirmed using the </w:t>
      </w:r>
      <w:r w:rsidRPr="006E0ADB">
        <w:rPr>
          <w:color w:val="000000" w:themeColor="text1"/>
          <w:lang w:eastAsia="en-AU"/>
        </w:rPr>
        <w:t xml:space="preserve">NCBI </w:t>
      </w:r>
      <w:r>
        <w:rPr>
          <w:color w:val="000000" w:themeColor="text1"/>
          <w:lang w:eastAsia="en-AU"/>
        </w:rPr>
        <w:t>(</w:t>
      </w:r>
      <w:r w:rsidRPr="006E0ADB">
        <w:rPr>
          <w:color w:val="000000" w:themeColor="text1"/>
          <w:lang w:eastAsia="en-AU"/>
        </w:rPr>
        <w:t>National Center for Biotechnology Information</w:t>
      </w:r>
      <w:r>
        <w:rPr>
          <w:color w:val="000000" w:themeColor="text1"/>
          <w:lang w:eastAsia="en-AU"/>
        </w:rPr>
        <w:t xml:space="preserve">) </w:t>
      </w:r>
      <w:r w:rsidRPr="006E0ADB">
        <w:rPr>
          <w:color w:val="000000" w:themeColor="text1"/>
          <w:lang w:eastAsia="en-AU"/>
        </w:rPr>
        <w:t>Blast</w:t>
      </w:r>
      <w:r>
        <w:rPr>
          <w:color w:val="000000" w:themeColor="text1"/>
          <w:lang w:eastAsia="en-AU"/>
        </w:rPr>
        <w:t xml:space="preserve"> (</w:t>
      </w:r>
      <w:r>
        <w:rPr>
          <w:lang w:val="en"/>
        </w:rPr>
        <w:t xml:space="preserve">Basic Local Alignment Search Tool) </w:t>
      </w:r>
      <w:r w:rsidRPr="006E0ADB">
        <w:rPr>
          <w:color w:val="000000" w:themeColor="text1"/>
          <w:lang w:eastAsia="en-AU"/>
        </w:rPr>
        <w:t>Nucleotide Sequence</w:t>
      </w:r>
      <w:r w:rsidR="007B2D8F">
        <w:rPr>
          <w:color w:val="000000" w:themeColor="text1"/>
          <w:lang w:eastAsia="en-AU"/>
        </w:rPr>
        <w:t xml:space="preserve"> database, </w:t>
      </w:r>
      <w:r w:rsidR="007B2D8F" w:rsidRPr="00456F82">
        <w:rPr>
          <w:b/>
          <w:color w:val="000000" w:themeColor="text1"/>
          <w:lang w:eastAsia="en-AU"/>
        </w:rPr>
        <w:t>Figure 5</w:t>
      </w:r>
      <w:r>
        <w:rPr>
          <w:color w:val="000000" w:themeColor="text1"/>
          <w:lang w:eastAsia="en-AU"/>
        </w:rPr>
        <w:t xml:space="preserve"> as Query_19021. </w:t>
      </w:r>
      <w:r w:rsidR="002B7680" w:rsidRPr="003C58E9">
        <w:rPr>
          <w:i/>
          <w:color w:val="000000" w:themeColor="text1"/>
          <w:lang w:eastAsia="en-AU"/>
        </w:rPr>
        <w:t>D</w:t>
      </w:r>
      <w:r w:rsidR="002B7680">
        <w:rPr>
          <w:color w:val="000000" w:themeColor="text1"/>
          <w:lang w:eastAsia="en-AU"/>
        </w:rPr>
        <w:t>.</w:t>
      </w:r>
      <w:r w:rsidR="002B7680" w:rsidRPr="003C58E9">
        <w:rPr>
          <w:color w:val="000000" w:themeColor="text1"/>
          <w:lang w:eastAsia="en-AU"/>
        </w:rPr>
        <w:t xml:space="preserve"> </w:t>
      </w:r>
      <w:r w:rsidR="002B7680" w:rsidRPr="003C58E9">
        <w:rPr>
          <w:i/>
          <w:color w:val="000000" w:themeColor="text1"/>
          <w:lang w:eastAsia="en-AU"/>
        </w:rPr>
        <w:t>spathularia</w:t>
      </w:r>
      <w:r w:rsidR="002B7680" w:rsidRPr="003C58E9">
        <w:rPr>
          <w:color w:val="000000" w:themeColor="text1"/>
          <w:lang w:eastAsia="en-AU"/>
        </w:rPr>
        <w:t xml:space="preserve"> MUCL 53181 </w:t>
      </w:r>
      <w:r w:rsidR="002B7680">
        <w:rPr>
          <w:color w:val="000000" w:themeColor="text1"/>
          <w:lang w:eastAsia="en-AU"/>
        </w:rPr>
        <w:t>has been deposited at</w:t>
      </w:r>
      <w:r w:rsidR="002B7680" w:rsidRPr="003C58E9">
        <w:rPr>
          <w:color w:val="000000" w:themeColor="text1"/>
          <w:lang w:eastAsia="en-AU"/>
        </w:rPr>
        <w:t xml:space="preserve"> </w:t>
      </w:r>
      <w:r w:rsidR="002B7680">
        <w:rPr>
          <w:color w:val="000000" w:themeColor="text1"/>
          <w:lang w:eastAsia="en-AU"/>
        </w:rPr>
        <w:t xml:space="preserve">the </w:t>
      </w:r>
      <w:r w:rsidR="002B7680" w:rsidRPr="003C58E9">
        <w:rPr>
          <w:color w:val="000000" w:themeColor="text1"/>
          <w:lang w:eastAsia="en-AU"/>
        </w:rPr>
        <w:t>Mycoth</w:t>
      </w:r>
      <w:r w:rsidR="002B7680" w:rsidRPr="003C58E9">
        <w:rPr>
          <w:rFonts w:hint="eastAsia"/>
          <w:color w:val="000000" w:themeColor="text1"/>
          <w:lang w:eastAsia="en-AU"/>
        </w:rPr>
        <w:t>è</w:t>
      </w:r>
      <w:r w:rsidR="002B7680" w:rsidRPr="003C58E9">
        <w:rPr>
          <w:color w:val="000000" w:themeColor="text1"/>
          <w:lang w:eastAsia="en-AU"/>
        </w:rPr>
        <w:t>que de l'Universit</w:t>
      </w:r>
      <w:r w:rsidR="002B7680" w:rsidRPr="003C58E9">
        <w:rPr>
          <w:rFonts w:hint="eastAsia"/>
          <w:color w:val="000000" w:themeColor="text1"/>
          <w:lang w:eastAsia="en-AU"/>
        </w:rPr>
        <w:t>é</w:t>
      </w:r>
      <w:r w:rsidR="002B7680" w:rsidRPr="003C58E9">
        <w:rPr>
          <w:color w:val="000000" w:themeColor="text1"/>
          <w:lang w:eastAsia="en-AU"/>
        </w:rPr>
        <w:t xml:space="preserve"> Catholique de Louvain</w:t>
      </w:r>
      <w:r w:rsidR="002B7680">
        <w:rPr>
          <w:color w:val="000000" w:themeColor="text1"/>
          <w:lang w:eastAsia="en-AU"/>
        </w:rPr>
        <w:t xml:space="preserve"> in</w:t>
      </w:r>
      <w:r w:rsidR="002B7680" w:rsidRPr="003C58E9">
        <w:rPr>
          <w:color w:val="000000" w:themeColor="text1"/>
          <w:lang w:eastAsia="en-AU"/>
        </w:rPr>
        <w:t xml:space="preserve"> Belgium, under the designation number MUCL 53181</w:t>
      </w:r>
      <w:r w:rsidR="002B7680">
        <w:rPr>
          <w:color w:val="000000" w:themeColor="text1"/>
          <w:lang w:eastAsia="en-AU"/>
        </w:rPr>
        <w:t>.</w:t>
      </w:r>
    </w:p>
    <w:p w14:paraId="1B6A6D47" w14:textId="608368F7" w:rsidR="00BD1F8E" w:rsidRDefault="00BD1F8E" w:rsidP="00BD1F8E">
      <w:pPr>
        <w:rPr>
          <w:color w:val="000000" w:themeColor="text1"/>
          <w:lang w:eastAsia="en-AU"/>
        </w:rPr>
      </w:pPr>
    </w:p>
    <w:p w14:paraId="5CEEF8A9" w14:textId="77777777" w:rsidR="00BD1F8E" w:rsidRDefault="00BD1F8E" w:rsidP="00BD1F8E">
      <w:pPr>
        <w:rPr>
          <w:color w:val="000000" w:themeColor="text1"/>
          <w:lang w:eastAsia="en-AU"/>
        </w:rPr>
      </w:pPr>
    </w:p>
    <w:p w14:paraId="101B77CF" w14:textId="77777777" w:rsidR="00BD1F8E" w:rsidRPr="006E0ADB" w:rsidRDefault="00BD1F8E" w:rsidP="00BD1F8E">
      <w:pPr>
        <w:rPr>
          <w:bCs/>
          <w:color w:val="000000" w:themeColor="text1"/>
          <w:lang w:eastAsia="en-AU"/>
        </w:rPr>
      </w:pPr>
      <w:r>
        <w:rPr>
          <w:noProof/>
          <w:lang w:eastAsia="en-GB" w:bidi="ar-SA"/>
        </w:rPr>
        <w:drawing>
          <wp:inline distT="0" distB="0" distL="0" distR="0" wp14:anchorId="5FA65667" wp14:editId="0B4DA049">
            <wp:extent cx="5759450" cy="19723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59450" cy="1972310"/>
                    </a:xfrm>
                    <a:prstGeom prst="rect">
                      <a:avLst/>
                    </a:prstGeom>
                  </pic:spPr>
                </pic:pic>
              </a:graphicData>
            </a:graphic>
          </wp:inline>
        </w:drawing>
      </w:r>
      <w:r>
        <w:rPr>
          <w:color w:val="000000" w:themeColor="text1"/>
          <w:lang w:eastAsia="en-AU"/>
        </w:rPr>
        <w:t xml:space="preserve"> </w:t>
      </w:r>
    </w:p>
    <w:p w14:paraId="08CFEBA9" w14:textId="77777777" w:rsidR="00BD1F8E" w:rsidRDefault="00BD1F8E" w:rsidP="00BD1F8E">
      <w:pPr>
        <w:rPr>
          <w:color w:val="000000" w:themeColor="text1"/>
          <w:lang w:eastAsia="en-AU"/>
        </w:rPr>
      </w:pPr>
    </w:p>
    <w:p w14:paraId="44659AED" w14:textId="2954CD3B" w:rsidR="004E42A1" w:rsidRDefault="004E42A1" w:rsidP="004E42A1">
      <w:pPr>
        <w:rPr>
          <w:bCs/>
          <w:color w:val="000000" w:themeColor="text1"/>
          <w:lang w:eastAsia="en-AU" w:bidi="ar-SA"/>
        </w:rPr>
      </w:pPr>
    </w:p>
    <w:p w14:paraId="3308266F" w14:textId="2D035251" w:rsidR="00837AED" w:rsidRPr="00BD1F8E" w:rsidRDefault="00406EB2" w:rsidP="00837AED">
      <w:pPr>
        <w:rPr>
          <w:i/>
          <w:color w:val="000000" w:themeColor="text1"/>
          <w:lang w:eastAsia="en-AU"/>
        </w:rPr>
      </w:pPr>
      <w:r w:rsidRPr="00406EB2">
        <w:rPr>
          <w:b/>
          <w:i/>
        </w:rPr>
        <w:t xml:space="preserve">Figure </w:t>
      </w:r>
      <w:r w:rsidRPr="00406EB2">
        <w:rPr>
          <w:b/>
          <w:i/>
        </w:rPr>
        <w:fldChar w:fldCharType="begin"/>
      </w:r>
      <w:r w:rsidRPr="00406EB2">
        <w:rPr>
          <w:b/>
          <w:i/>
        </w:rPr>
        <w:instrText xml:space="preserve"> SEQ Figure \* ARABIC </w:instrText>
      </w:r>
      <w:r w:rsidRPr="00406EB2">
        <w:rPr>
          <w:b/>
          <w:i/>
        </w:rPr>
        <w:fldChar w:fldCharType="separate"/>
      </w:r>
      <w:r w:rsidR="00E202C8">
        <w:rPr>
          <w:b/>
          <w:i/>
          <w:noProof/>
        </w:rPr>
        <w:t>5</w:t>
      </w:r>
      <w:r w:rsidRPr="00406EB2">
        <w:rPr>
          <w:b/>
          <w:i/>
        </w:rPr>
        <w:fldChar w:fldCharType="end"/>
      </w:r>
      <w:r w:rsidRPr="00837AED">
        <w:rPr>
          <w:i/>
        </w:rPr>
        <w:tab/>
      </w:r>
      <w:r w:rsidR="00837AED" w:rsidRPr="00BD1F8E">
        <w:rPr>
          <w:i/>
          <w:color w:val="000000" w:themeColor="text1"/>
          <w:lang w:eastAsia="en-AU"/>
        </w:rPr>
        <w:t xml:space="preserve">Phylogenetic tree for </w:t>
      </w:r>
      <w:r w:rsidR="00837AED" w:rsidRPr="00BD1F8E">
        <w:rPr>
          <w:i/>
        </w:rPr>
        <w:t>Dacryopinax spathularia using NCBI BLAST Nucleotide sequence database</w:t>
      </w:r>
    </w:p>
    <w:p w14:paraId="355224A7" w14:textId="77777777" w:rsidR="00CF5E4F" w:rsidRDefault="00CF5E4F" w:rsidP="004E42A1">
      <w:pPr>
        <w:rPr>
          <w:bCs/>
          <w:color w:val="000000" w:themeColor="text1"/>
          <w:lang w:eastAsia="en-AU" w:bidi="ar-SA"/>
        </w:rPr>
      </w:pPr>
    </w:p>
    <w:p w14:paraId="24E5FA4E" w14:textId="26DA267A" w:rsidR="00B62E90" w:rsidRDefault="00B62E90" w:rsidP="004E42A1">
      <w:pPr>
        <w:rPr>
          <w:bCs/>
          <w:color w:val="000000" w:themeColor="text1"/>
          <w:lang w:eastAsia="en-AU" w:bidi="ar-SA"/>
        </w:rPr>
      </w:pPr>
      <w:r w:rsidRPr="00B62E90">
        <w:rPr>
          <w:bCs/>
          <w:i/>
          <w:color w:val="000000" w:themeColor="text1"/>
          <w:lang w:eastAsia="en-AU" w:bidi="ar-SA"/>
        </w:rPr>
        <w:t>Dacryopinax spathularia</w:t>
      </w:r>
      <w:r w:rsidRPr="00B62E90">
        <w:rPr>
          <w:bCs/>
          <w:color w:val="000000" w:themeColor="text1"/>
          <w:lang w:eastAsia="en-AU" w:bidi="ar-SA"/>
        </w:rPr>
        <w:t xml:space="preserve"> is listed in the Food and Agriculture Organization of the United Nations (FAO) compendium on edible mushrooms</w:t>
      </w:r>
      <w:r w:rsidR="00376222">
        <w:rPr>
          <w:bCs/>
          <w:color w:val="000000" w:themeColor="text1"/>
          <w:lang w:eastAsia="en-AU" w:bidi="ar-SA"/>
        </w:rPr>
        <w:t xml:space="preserve"> </w:t>
      </w:r>
      <w:r w:rsidR="009B1BCB">
        <w:rPr>
          <w:bCs/>
          <w:color w:val="000000" w:themeColor="text1"/>
          <w:lang w:eastAsia="en-AU" w:bidi="ar-SA"/>
        </w:rPr>
        <w:t>(Boa</w:t>
      </w:r>
      <w:r w:rsidR="00004562">
        <w:rPr>
          <w:bCs/>
          <w:color w:val="000000" w:themeColor="text1"/>
          <w:lang w:eastAsia="en-AU" w:bidi="ar-SA"/>
        </w:rPr>
        <w:t xml:space="preserve"> 2004)</w:t>
      </w:r>
      <w:r w:rsidR="00376222">
        <w:rPr>
          <w:bCs/>
          <w:color w:val="000000" w:themeColor="text1"/>
          <w:lang w:eastAsia="en-AU" w:bidi="ar-SA"/>
        </w:rPr>
        <w:t xml:space="preserve">. It is described as edible in </w:t>
      </w:r>
      <w:r w:rsidR="008C6F73">
        <w:rPr>
          <w:bCs/>
          <w:color w:val="000000" w:themeColor="text1"/>
          <w:lang w:eastAsia="en-AU" w:bidi="ar-SA"/>
        </w:rPr>
        <w:t xml:space="preserve">peer-reviewed </w:t>
      </w:r>
      <w:r w:rsidR="00376222">
        <w:rPr>
          <w:bCs/>
          <w:color w:val="000000" w:themeColor="text1"/>
          <w:lang w:eastAsia="en-AU" w:bidi="ar-SA"/>
        </w:rPr>
        <w:t>publications from a range of countries including</w:t>
      </w:r>
      <w:r w:rsidR="008C6F73">
        <w:rPr>
          <w:bCs/>
          <w:color w:val="000000" w:themeColor="text1"/>
          <w:lang w:eastAsia="en-AU" w:bidi="ar-SA"/>
        </w:rPr>
        <w:t xml:space="preserve"> Rwanda, </w:t>
      </w:r>
      <w:r w:rsidR="008C6F73" w:rsidRPr="009104E0">
        <w:rPr>
          <w:bCs/>
          <w:color w:val="000000" w:themeColor="text1"/>
          <w:lang w:eastAsia="en-AU" w:bidi="ar-SA"/>
        </w:rPr>
        <w:t xml:space="preserve">Burundi (Degreef et al 2016), </w:t>
      </w:r>
      <w:r w:rsidR="000F31F3" w:rsidRPr="009104E0">
        <w:rPr>
          <w:bCs/>
          <w:color w:val="000000" w:themeColor="text1"/>
          <w:lang w:eastAsia="en-AU" w:bidi="ar-SA"/>
        </w:rPr>
        <w:t>Cameroon (</w:t>
      </w:r>
      <w:r w:rsidR="00924D28">
        <w:rPr>
          <w:bCs/>
          <w:color w:val="000000" w:themeColor="text1"/>
          <w:lang w:eastAsia="en-AU" w:bidi="ar-SA"/>
        </w:rPr>
        <w:t xml:space="preserve">VanDijk et al 2003; </w:t>
      </w:r>
      <w:r w:rsidR="000F31F3" w:rsidRPr="009104E0">
        <w:rPr>
          <w:bCs/>
          <w:color w:val="000000" w:themeColor="text1"/>
          <w:lang w:eastAsia="en-AU" w:bidi="ar-SA"/>
        </w:rPr>
        <w:t xml:space="preserve">Onguene and Kuyper 2019), </w:t>
      </w:r>
      <w:r w:rsidR="008C6F73" w:rsidRPr="009104E0">
        <w:rPr>
          <w:bCs/>
          <w:color w:val="000000" w:themeColor="text1"/>
          <w:lang w:eastAsia="en-AU" w:bidi="ar-SA"/>
        </w:rPr>
        <w:t>India (</w:t>
      </w:r>
      <w:r w:rsidR="003C7857">
        <w:rPr>
          <w:bCs/>
          <w:color w:val="000000" w:themeColor="text1"/>
          <w:lang w:eastAsia="en-AU" w:bidi="ar-SA"/>
        </w:rPr>
        <w:t xml:space="preserve">Ao et al 2016; </w:t>
      </w:r>
      <w:r w:rsidR="008C6F73" w:rsidRPr="009104E0">
        <w:rPr>
          <w:bCs/>
          <w:color w:val="000000" w:themeColor="text1"/>
          <w:lang w:eastAsia="en-AU" w:bidi="ar-SA"/>
        </w:rPr>
        <w:t>Kumar et al 2018, 2019</w:t>
      </w:r>
      <w:r w:rsidR="000F31F3" w:rsidRPr="009104E0">
        <w:rPr>
          <w:bCs/>
          <w:color w:val="000000" w:themeColor="text1"/>
          <w:lang w:eastAsia="en-AU" w:bidi="ar-SA"/>
        </w:rPr>
        <w:t xml:space="preserve">), </w:t>
      </w:r>
      <w:r w:rsidR="00924D28">
        <w:rPr>
          <w:bCs/>
          <w:color w:val="000000" w:themeColor="text1"/>
          <w:lang w:eastAsia="en-AU" w:bidi="ar-SA"/>
        </w:rPr>
        <w:t xml:space="preserve">China (Zhishu et al 1993), Malaysia (Lee et al 2009), the USA (Meuninck 2017) </w:t>
      </w:r>
      <w:r w:rsidR="000F31F3" w:rsidRPr="009104E0">
        <w:rPr>
          <w:bCs/>
          <w:color w:val="000000" w:themeColor="text1"/>
          <w:lang w:eastAsia="en-AU" w:bidi="ar-SA"/>
        </w:rPr>
        <w:t>and Ecuador (Gamboa-Trujillo et al 2019).</w:t>
      </w:r>
      <w:r w:rsidR="000F31F3">
        <w:rPr>
          <w:bCs/>
          <w:color w:val="000000" w:themeColor="text1"/>
          <w:lang w:eastAsia="en-AU" w:bidi="ar-SA"/>
        </w:rPr>
        <w:t xml:space="preserve"> </w:t>
      </w:r>
    </w:p>
    <w:p w14:paraId="02D2F7B0" w14:textId="604E4E57" w:rsidR="00AA2C10" w:rsidRDefault="001A57F4" w:rsidP="00A9190F">
      <w:pPr>
        <w:pStyle w:val="Heading3"/>
      </w:pPr>
      <w:bookmarkStart w:id="90" w:name="_Toc43217053"/>
      <w:bookmarkStart w:id="91" w:name="_Toc44401538"/>
      <w:bookmarkStart w:id="92" w:name="_Toc45284290"/>
      <w:bookmarkStart w:id="93" w:name="_Toc46929413"/>
      <w:r>
        <w:t>4</w:t>
      </w:r>
      <w:r w:rsidR="00AA2C10" w:rsidRPr="00AA2C10">
        <w:t>.2.2 Toxicokinetics and metabolism</w:t>
      </w:r>
      <w:bookmarkEnd w:id="90"/>
      <w:bookmarkEnd w:id="91"/>
      <w:bookmarkEnd w:id="92"/>
      <w:bookmarkEnd w:id="93"/>
    </w:p>
    <w:p w14:paraId="4805F37D" w14:textId="13744EFF" w:rsidR="00521426" w:rsidRPr="00FF4BC6" w:rsidRDefault="00521426" w:rsidP="00FF4BC6">
      <w:pPr>
        <w:rPr>
          <w:i/>
          <w:lang w:eastAsia="en-AU" w:bidi="ar-SA"/>
        </w:rPr>
      </w:pPr>
      <w:r w:rsidRPr="00FF4BC6">
        <w:rPr>
          <w:i/>
          <w:lang w:eastAsia="en-AU" w:bidi="ar-SA"/>
        </w:rPr>
        <w:t xml:space="preserve">Pharmacokinetic study of radiolabelled glycolipids from </w:t>
      </w:r>
      <w:r w:rsidRPr="00FF4BC6">
        <w:rPr>
          <w:lang w:eastAsia="en-AU" w:bidi="ar-SA"/>
        </w:rPr>
        <w:t>Dacr</w:t>
      </w:r>
      <w:r w:rsidR="001E5330">
        <w:rPr>
          <w:lang w:eastAsia="en-AU" w:bidi="ar-SA"/>
        </w:rPr>
        <w:t>y</w:t>
      </w:r>
      <w:r w:rsidRPr="00FF4BC6">
        <w:rPr>
          <w:lang w:eastAsia="en-AU" w:bidi="ar-SA"/>
        </w:rPr>
        <w:t>opinax spathularia</w:t>
      </w:r>
      <w:r w:rsidRPr="00FF4BC6">
        <w:rPr>
          <w:i/>
          <w:lang w:eastAsia="en-AU" w:bidi="ar-SA"/>
        </w:rPr>
        <w:t xml:space="preserve"> in rats (Charles River Laboratories </w:t>
      </w:r>
      <w:r w:rsidRPr="00F67A5A">
        <w:rPr>
          <w:i/>
          <w:lang w:eastAsia="en-AU" w:bidi="ar-SA"/>
        </w:rPr>
        <w:t>2017; Bitzer et al 2017</w:t>
      </w:r>
      <w:r w:rsidR="0015213D" w:rsidRPr="00F67A5A">
        <w:rPr>
          <w:i/>
          <w:lang w:eastAsia="en-AU" w:bidi="ar-SA"/>
        </w:rPr>
        <w:t>a</w:t>
      </w:r>
      <w:r w:rsidRPr="00FF4BC6">
        <w:rPr>
          <w:i/>
          <w:lang w:eastAsia="en-AU" w:bidi="ar-SA"/>
        </w:rPr>
        <w:t>) Regulatory status: GLP</w:t>
      </w:r>
      <w:r w:rsidR="00152EA3" w:rsidRPr="00FF4BC6">
        <w:rPr>
          <w:i/>
          <w:lang w:eastAsia="en-AU" w:bidi="ar-SA"/>
        </w:rPr>
        <w:t xml:space="preserve">; conducted </w:t>
      </w:r>
      <w:r w:rsidR="008C15B9">
        <w:rPr>
          <w:i/>
          <w:lang w:eastAsia="en-AU" w:bidi="ar-SA"/>
        </w:rPr>
        <w:t>in accordance with FDA Redbook II Guidelines, Chapter V.B</w:t>
      </w:r>
    </w:p>
    <w:p w14:paraId="38393F4B" w14:textId="77777777" w:rsidR="00FF4BC6" w:rsidRDefault="00FF4BC6" w:rsidP="00FF4BC6">
      <w:pPr>
        <w:rPr>
          <w:lang w:eastAsia="en-AU" w:bidi="ar-SA"/>
        </w:rPr>
      </w:pPr>
    </w:p>
    <w:p w14:paraId="05946E50" w14:textId="254BB803" w:rsidR="00521426" w:rsidRDefault="00521426" w:rsidP="00FF4BC6">
      <w:pPr>
        <w:rPr>
          <w:lang w:eastAsia="en-AU" w:bidi="ar-SA"/>
        </w:rPr>
      </w:pPr>
      <w:r>
        <w:rPr>
          <w:lang w:eastAsia="en-AU" w:bidi="ar-SA"/>
        </w:rPr>
        <w:t>The test article</w:t>
      </w:r>
      <w:r w:rsidR="00F704B7">
        <w:rPr>
          <w:lang w:eastAsia="en-AU" w:bidi="ar-SA"/>
        </w:rPr>
        <w:t>s</w:t>
      </w:r>
      <w:r>
        <w:rPr>
          <w:lang w:eastAsia="en-AU" w:bidi="ar-SA"/>
        </w:rPr>
        <w:t xml:space="preserve"> for this study </w:t>
      </w:r>
      <w:r w:rsidR="00AB5489">
        <w:rPr>
          <w:lang w:eastAsia="en-AU" w:bidi="ar-SA"/>
        </w:rPr>
        <w:t>w</w:t>
      </w:r>
      <w:r w:rsidR="00F704B7">
        <w:rPr>
          <w:lang w:eastAsia="en-AU" w:bidi="ar-SA"/>
        </w:rPr>
        <w:t>ere</w:t>
      </w:r>
      <w:r w:rsidR="00AB5489">
        <w:rPr>
          <w:lang w:eastAsia="en-AU" w:bidi="ar-SA"/>
        </w:rPr>
        <w:t xml:space="preserve"> the commercial product that is the subject of the application</w:t>
      </w:r>
      <w:r w:rsidR="0021703D">
        <w:rPr>
          <w:lang w:eastAsia="en-AU" w:bidi="ar-SA"/>
        </w:rPr>
        <w:t xml:space="preserve">, which was called AM-1 in the study report and subsequent publication in </w:t>
      </w:r>
      <w:r w:rsidR="0021703D" w:rsidRPr="0021703D">
        <w:rPr>
          <w:i/>
          <w:lang w:eastAsia="en-AU" w:bidi="ar-SA"/>
        </w:rPr>
        <w:t>Food and Chemical Toxicology</w:t>
      </w:r>
      <w:r w:rsidR="00F704B7">
        <w:rPr>
          <w:lang w:eastAsia="en-AU" w:bidi="ar-SA"/>
        </w:rPr>
        <w:t xml:space="preserve">, and a mixture of </w:t>
      </w:r>
      <w:r w:rsidR="00F704B7" w:rsidRPr="00F704B7">
        <w:rPr>
          <w:lang w:eastAsia="en-AU" w:bidi="ar-SA"/>
        </w:rPr>
        <w:t>long chain fatty acids (LCFA) that comprises the m</w:t>
      </w:r>
      <w:r w:rsidR="00F704B7">
        <w:rPr>
          <w:lang w:eastAsia="en-AU" w:bidi="ar-SA"/>
        </w:rPr>
        <w:t>ajor hydrolysis product of AM-1</w:t>
      </w:r>
      <w:r w:rsidR="00AB5489">
        <w:rPr>
          <w:lang w:eastAsia="en-AU" w:bidi="ar-SA"/>
        </w:rPr>
        <w:t>.</w:t>
      </w:r>
      <w:r w:rsidR="0021703D">
        <w:rPr>
          <w:lang w:eastAsia="en-AU" w:bidi="ar-SA"/>
        </w:rPr>
        <w:t xml:space="preserve"> The study sponsor supplied both non-radiolabelled and radiolabelled AM-1, and also provided non-radiolabelled and radiolabelled versions of </w:t>
      </w:r>
      <w:r w:rsidR="00F704B7">
        <w:rPr>
          <w:lang w:eastAsia="en-AU" w:bidi="ar-SA"/>
        </w:rPr>
        <w:t>LCFA</w:t>
      </w:r>
      <w:r w:rsidR="00E71572">
        <w:rPr>
          <w:lang w:eastAsia="en-AU" w:bidi="ar-SA"/>
        </w:rPr>
        <w:t>. Purity of the non-radiolabelled test articles was not</w:t>
      </w:r>
      <w:r w:rsidR="005E1CBD">
        <w:rPr>
          <w:lang w:eastAsia="en-AU" w:bidi="ar-SA"/>
        </w:rPr>
        <w:t xml:space="preserve"> specifically stated, </w:t>
      </w:r>
      <w:r w:rsidR="00E71572">
        <w:rPr>
          <w:lang w:eastAsia="en-AU" w:bidi="ar-SA"/>
        </w:rPr>
        <w:t xml:space="preserve">but </w:t>
      </w:r>
      <w:r w:rsidR="005E1CBD">
        <w:rPr>
          <w:lang w:eastAsia="en-AU" w:bidi="ar-SA"/>
        </w:rPr>
        <w:t xml:space="preserve">test article information and </w:t>
      </w:r>
      <w:r w:rsidR="00E71572">
        <w:rPr>
          <w:lang w:eastAsia="en-AU" w:bidi="ar-SA"/>
        </w:rPr>
        <w:t>dose formulation calculations included in the study report indicate that it was close to 100%.</w:t>
      </w:r>
      <w:r w:rsidR="0021703D">
        <w:rPr>
          <w:lang w:eastAsia="en-AU" w:bidi="ar-SA"/>
        </w:rPr>
        <w:t xml:space="preserve"> </w:t>
      </w:r>
      <w:r w:rsidR="004B40DF">
        <w:rPr>
          <w:lang w:eastAsia="en-AU" w:bidi="ar-SA"/>
        </w:rPr>
        <w:t>The radiolabel</w:t>
      </w:r>
      <w:r w:rsidR="005E1CBD">
        <w:rPr>
          <w:lang w:eastAsia="en-AU" w:bidi="ar-SA"/>
        </w:rPr>
        <w:t>,</w:t>
      </w:r>
      <w:r w:rsidR="004B40DF">
        <w:rPr>
          <w:lang w:eastAsia="en-AU" w:bidi="ar-SA"/>
        </w:rPr>
        <w:t xml:space="preserve"> </w:t>
      </w:r>
      <w:r w:rsidR="004B40DF">
        <w:rPr>
          <w:vertAlign w:val="superscript"/>
          <w:lang w:eastAsia="en-AU" w:bidi="ar-SA"/>
        </w:rPr>
        <w:t>14</w:t>
      </w:r>
      <w:r w:rsidR="004B40DF">
        <w:rPr>
          <w:lang w:eastAsia="en-AU" w:bidi="ar-SA"/>
        </w:rPr>
        <w:t>C</w:t>
      </w:r>
      <w:r w:rsidR="008A05AC">
        <w:rPr>
          <w:lang w:eastAsia="en-AU" w:bidi="ar-SA"/>
        </w:rPr>
        <w:t>, was evenly distributed within the mixtures of glycolipids in AM-1 and the long-chain fatty acids produced from them in LCFA</w:t>
      </w:r>
      <w:r w:rsidR="004B40DF">
        <w:rPr>
          <w:lang w:eastAsia="en-AU" w:bidi="ar-SA"/>
        </w:rPr>
        <w:t>.</w:t>
      </w:r>
      <w:r w:rsidR="00F704B7">
        <w:rPr>
          <w:lang w:eastAsia="en-AU" w:bidi="ar-SA"/>
        </w:rPr>
        <w:t xml:space="preserve"> </w:t>
      </w:r>
      <w:r w:rsidR="00136D50">
        <w:rPr>
          <w:lang w:eastAsia="en-AU" w:bidi="ar-SA"/>
        </w:rPr>
        <w:t>Radiochemical purity was 100% for both AM-1 and LCFA.</w:t>
      </w:r>
      <w:r w:rsidR="00F704B7">
        <w:rPr>
          <w:lang w:eastAsia="en-AU" w:bidi="ar-SA"/>
        </w:rPr>
        <w:t xml:space="preserve"> For oral administration, dose formulations of both AM-1 and LCFA were prepared and administered as fine suspensions in physiological saline containing 0.5% methylcellulose. For intravenous administration, radiolabelled AM-1 or LCFA were dissolved in DMSO and extended with PEG400. </w:t>
      </w:r>
      <w:r w:rsidR="00F704B7" w:rsidDel="000D2E95">
        <w:rPr>
          <w:lang w:eastAsia="en-AU" w:bidi="ar-SA"/>
        </w:rPr>
        <w:t xml:space="preserve">Dose </w:t>
      </w:r>
      <w:r w:rsidR="00F704B7">
        <w:rPr>
          <w:lang w:eastAsia="en-AU" w:bidi="ar-SA"/>
        </w:rPr>
        <w:t xml:space="preserve">analysis of the radiolabelled dose formulations was conducted using liquid scintillation counting </w:t>
      </w:r>
      <w:r w:rsidR="00D65520">
        <w:rPr>
          <w:lang w:eastAsia="en-AU" w:bidi="ar-SA"/>
        </w:rPr>
        <w:t xml:space="preserve">(LSC) </w:t>
      </w:r>
      <w:r w:rsidR="00F704B7">
        <w:rPr>
          <w:lang w:eastAsia="en-AU" w:bidi="ar-SA"/>
        </w:rPr>
        <w:t>and radio-</w:t>
      </w:r>
      <w:r w:rsidR="008A05AC">
        <w:rPr>
          <w:lang w:eastAsia="en-AU" w:bidi="ar-SA"/>
        </w:rPr>
        <w:t>high performance liquid chromatography (</w:t>
      </w:r>
      <w:r w:rsidR="00F704B7">
        <w:rPr>
          <w:lang w:eastAsia="en-AU" w:bidi="ar-SA"/>
        </w:rPr>
        <w:t>HPLC</w:t>
      </w:r>
      <w:r w:rsidR="008A05AC">
        <w:rPr>
          <w:lang w:eastAsia="en-AU" w:bidi="ar-SA"/>
        </w:rPr>
        <w:t>)</w:t>
      </w:r>
      <w:r w:rsidR="00F704B7">
        <w:rPr>
          <w:lang w:eastAsia="en-AU" w:bidi="ar-SA"/>
        </w:rPr>
        <w:t xml:space="preserve">, and </w:t>
      </w:r>
      <w:r w:rsidR="00F704B7" w:rsidDel="000D2E95">
        <w:rPr>
          <w:lang w:eastAsia="en-AU" w:bidi="ar-SA"/>
        </w:rPr>
        <w:t xml:space="preserve">dose </w:t>
      </w:r>
      <w:r w:rsidR="00F704B7">
        <w:rPr>
          <w:lang w:eastAsia="en-AU" w:bidi="ar-SA"/>
        </w:rPr>
        <w:t xml:space="preserve">analysis of the non-radiolabelled dose formulations was conducted using </w:t>
      </w:r>
      <w:r w:rsidR="008A05AC">
        <w:rPr>
          <w:lang w:eastAsia="en-AU" w:bidi="ar-SA"/>
        </w:rPr>
        <w:t>high performance</w:t>
      </w:r>
      <w:r w:rsidR="00F704B7">
        <w:rPr>
          <w:lang w:eastAsia="en-AU" w:bidi="ar-SA"/>
        </w:rPr>
        <w:t xml:space="preserve"> </w:t>
      </w:r>
      <w:r w:rsidR="008A05AC">
        <w:rPr>
          <w:lang w:eastAsia="en-AU" w:bidi="ar-SA"/>
        </w:rPr>
        <w:t>liquid chromatography-mass spectrometry (</w:t>
      </w:r>
      <w:r w:rsidR="00F704B7">
        <w:rPr>
          <w:lang w:eastAsia="en-AU" w:bidi="ar-SA"/>
        </w:rPr>
        <w:t>LCMS</w:t>
      </w:r>
      <w:r w:rsidR="008A05AC">
        <w:rPr>
          <w:lang w:eastAsia="en-AU" w:bidi="ar-SA"/>
        </w:rPr>
        <w:t>)</w:t>
      </w:r>
      <w:r w:rsidR="00F704B7">
        <w:rPr>
          <w:lang w:eastAsia="en-AU" w:bidi="ar-SA"/>
        </w:rPr>
        <w:t xml:space="preserve">. The test subjects were male and female </w:t>
      </w:r>
      <w:r w:rsidR="00870641">
        <w:rPr>
          <w:lang w:eastAsia="en-AU" w:bidi="ar-SA"/>
        </w:rPr>
        <w:t>Sprague Dawley rats, aged between 8 and 10 weeks at dosing. Rats were housed individually under standard laboratory environm</w:t>
      </w:r>
      <w:r w:rsidR="00144121">
        <w:rPr>
          <w:lang w:eastAsia="en-AU" w:bidi="ar-SA"/>
        </w:rPr>
        <w:t>ental and husbandry conditions.</w:t>
      </w:r>
    </w:p>
    <w:p w14:paraId="7A64E3BF" w14:textId="77777777" w:rsidR="004847A7" w:rsidRDefault="004847A7" w:rsidP="00FF4BC6">
      <w:pPr>
        <w:rPr>
          <w:lang w:eastAsia="en-AU" w:bidi="ar-SA"/>
        </w:rPr>
      </w:pPr>
    </w:p>
    <w:p w14:paraId="5CBE0C3D" w14:textId="230321DF" w:rsidR="009711A6" w:rsidRDefault="009711A6" w:rsidP="00FF4BC6">
      <w:pPr>
        <w:rPr>
          <w:lang w:eastAsia="en-AU" w:bidi="ar-SA"/>
        </w:rPr>
      </w:pPr>
      <w:r>
        <w:rPr>
          <w:lang w:eastAsia="en-AU" w:bidi="ar-SA"/>
        </w:rPr>
        <w:t>The study comprised five experiments. The first experiment was a pharmacokinetics study using radiolabelled test articles administered to 9 rats/sex/group. Doses and routes of radiolabelled test articles were</w:t>
      </w:r>
      <w:r w:rsidR="00F06120">
        <w:rPr>
          <w:lang w:eastAsia="en-AU" w:bidi="ar-SA"/>
        </w:rPr>
        <w:t xml:space="preserve">: Group 1, </w:t>
      </w:r>
      <w:r>
        <w:rPr>
          <w:lang w:eastAsia="en-AU" w:bidi="ar-SA"/>
        </w:rPr>
        <w:t xml:space="preserve"> 100 mg/kg bw AM-1 by oral gavage</w:t>
      </w:r>
      <w:r w:rsidR="00F06120">
        <w:rPr>
          <w:lang w:eastAsia="en-AU" w:bidi="ar-SA"/>
        </w:rPr>
        <w:t xml:space="preserve">; Group 2, </w:t>
      </w:r>
      <w:r>
        <w:rPr>
          <w:lang w:eastAsia="en-AU" w:bidi="ar-SA"/>
        </w:rPr>
        <w:t>46 mg/kg bw LCFA by oral gavage</w:t>
      </w:r>
      <w:r w:rsidR="00F06120">
        <w:rPr>
          <w:lang w:eastAsia="en-AU" w:bidi="ar-SA"/>
        </w:rPr>
        <w:t xml:space="preserve">; Group 3, </w:t>
      </w:r>
      <w:r>
        <w:rPr>
          <w:lang w:eastAsia="en-AU" w:bidi="ar-SA"/>
        </w:rPr>
        <w:t>10 mg/kg bw IV</w:t>
      </w:r>
      <w:r w:rsidR="008A05AC">
        <w:rPr>
          <w:lang w:eastAsia="en-AU" w:bidi="ar-SA"/>
        </w:rPr>
        <w:t xml:space="preserve"> AM-1</w:t>
      </w:r>
      <w:r w:rsidR="00F06120">
        <w:rPr>
          <w:lang w:eastAsia="en-AU" w:bidi="ar-SA"/>
        </w:rPr>
        <w:t>; Group 4,</w:t>
      </w:r>
      <w:r>
        <w:rPr>
          <w:lang w:eastAsia="en-AU" w:bidi="ar-SA"/>
        </w:rPr>
        <w:t xml:space="preserve"> 4.6 mg/kg bw IV</w:t>
      </w:r>
      <w:r w:rsidR="008A05AC">
        <w:rPr>
          <w:lang w:eastAsia="en-AU" w:bidi="ar-SA"/>
        </w:rPr>
        <w:t xml:space="preserve"> LCFA</w:t>
      </w:r>
      <w:r>
        <w:rPr>
          <w:lang w:eastAsia="en-AU" w:bidi="ar-SA"/>
        </w:rPr>
        <w:t xml:space="preserve">. </w:t>
      </w:r>
      <w:r w:rsidR="00117C4F">
        <w:rPr>
          <w:lang w:eastAsia="en-AU" w:bidi="ar-SA"/>
        </w:rPr>
        <w:t xml:space="preserve">Doses were selected </w:t>
      </w:r>
      <w:r w:rsidR="008A05AC">
        <w:rPr>
          <w:lang w:eastAsia="en-AU" w:bidi="ar-SA"/>
        </w:rPr>
        <w:t>so that</w:t>
      </w:r>
      <w:r w:rsidR="00117C4F">
        <w:rPr>
          <w:lang w:eastAsia="en-AU" w:bidi="ar-SA"/>
        </w:rPr>
        <w:t xml:space="preserve"> the </w:t>
      </w:r>
      <w:r w:rsidR="008A05AC">
        <w:rPr>
          <w:lang w:eastAsia="en-AU" w:bidi="ar-SA"/>
        </w:rPr>
        <w:t>quantity of LCFA administered, in moles, corresponded to the quantity of AM-1 administered in moles.</w:t>
      </w:r>
      <w:r w:rsidR="00117C4F">
        <w:rPr>
          <w:lang w:eastAsia="en-AU" w:bidi="ar-SA"/>
        </w:rPr>
        <w:t xml:space="preserve"> </w:t>
      </w:r>
      <w:r w:rsidR="00D65520">
        <w:rPr>
          <w:lang w:eastAsia="en-AU" w:bidi="ar-SA"/>
        </w:rPr>
        <w:t>Blood was collected from the jugular vein from 3 rats/sex/group, by rotation through subgroups</w:t>
      </w:r>
      <w:r w:rsidR="00F06120">
        <w:rPr>
          <w:lang w:eastAsia="en-AU" w:bidi="ar-SA"/>
        </w:rPr>
        <w:t>, at</w:t>
      </w:r>
      <w:r w:rsidR="00D65520">
        <w:rPr>
          <w:lang w:eastAsia="en-AU" w:bidi="ar-SA"/>
        </w:rPr>
        <w:t xml:space="preserve"> 0.25, 0.5, 1, 2, 4, 8, 24, 48 and 72 h</w:t>
      </w:r>
      <w:r w:rsidR="00F06120">
        <w:rPr>
          <w:lang w:eastAsia="en-AU" w:bidi="ar-SA"/>
        </w:rPr>
        <w:t xml:space="preserve"> after dose administration</w:t>
      </w:r>
      <w:r w:rsidR="00D65520">
        <w:rPr>
          <w:lang w:eastAsia="en-AU" w:bidi="ar-SA"/>
        </w:rPr>
        <w:t xml:space="preserve">. Total radioactivity in plasma was measured by LSC. </w:t>
      </w:r>
      <w:r w:rsidR="00A55141">
        <w:rPr>
          <w:lang w:eastAsia="en-AU" w:bidi="ar-SA"/>
        </w:rPr>
        <w:t xml:space="preserve">For assessment of single dose excretion balance (Experiment 2) two groups, 3 rats/sex/group, were administered radiolabelled test article by oral gavage, either 100 mg/kg bw AM-1 or 46 mg/kg bw LCFA, while for repeated dose-excretion phase assessment (Experiment 4) two groups, 3/rats/sex/group, were administered the same doses of unlabelled test articles once daily for 14 days, followed by a single dose </w:t>
      </w:r>
      <w:r w:rsidR="001A2D03">
        <w:rPr>
          <w:lang w:eastAsia="en-AU" w:bidi="ar-SA"/>
        </w:rPr>
        <w:t>of</w:t>
      </w:r>
      <w:r w:rsidR="00A55141">
        <w:rPr>
          <w:lang w:eastAsia="en-AU" w:bidi="ar-SA"/>
        </w:rPr>
        <w:t xml:space="preserve"> the radiolabelled test articles, at the same dose levels, on Day 15. Following administration of radiolabelled test articles in these two experiments, rats were placed in individual metabolism cages for collection of expired air for 78</w:t>
      </w:r>
      <w:r>
        <w:rPr>
          <w:lang w:eastAsia="en-AU" w:bidi="ar-SA"/>
        </w:rPr>
        <w:t xml:space="preserve"> </w:t>
      </w:r>
      <w:r w:rsidR="00A55141">
        <w:rPr>
          <w:lang w:eastAsia="en-AU" w:bidi="ar-SA"/>
        </w:rPr>
        <w:t>h post-dosing and urine and faeces for 168 h post-dosing. Rats were killed by CO</w:t>
      </w:r>
      <w:r w:rsidR="00A55141">
        <w:rPr>
          <w:vertAlign w:val="subscript"/>
          <w:lang w:eastAsia="en-AU" w:bidi="ar-SA"/>
        </w:rPr>
        <w:t>2</w:t>
      </w:r>
      <w:r w:rsidR="00A55141">
        <w:rPr>
          <w:lang w:eastAsia="en-AU" w:bidi="ar-SA"/>
        </w:rPr>
        <w:t xml:space="preserve"> inhalation at the end of excreta collection and carcasses were frozen. Radioactivity was measured by LSC in expired air, activated carbon through which expired air had been drawn, urine, faeces, cage rinse, cage wash, and selected carcass samples. </w:t>
      </w:r>
      <w:r w:rsidR="00AD4245">
        <w:rPr>
          <w:lang w:eastAsia="en-AU" w:bidi="ar-SA"/>
        </w:rPr>
        <w:t xml:space="preserve">Experiments 3 and 5 were experiments for quantitative whole body </w:t>
      </w:r>
      <w:r w:rsidR="0088487A">
        <w:rPr>
          <w:lang w:eastAsia="en-AU" w:bidi="ar-SA"/>
        </w:rPr>
        <w:t>auto</w:t>
      </w:r>
      <w:r w:rsidR="00AD4245">
        <w:rPr>
          <w:lang w:eastAsia="en-AU" w:bidi="ar-SA"/>
        </w:rPr>
        <w:t>radiography</w:t>
      </w:r>
      <w:r w:rsidR="0088487A">
        <w:rPr>
          <w:lang w:eastAsia="en-AU" w:bidi="ar-SA"/>
        </w:rPr>
        <w:t xml:space="preserve"> (QWBA)</w:t>
      </w:r>
      <w:r w:rsidR="00AD4245">
        <w:rPr>
          <w:lang w:eastAsia="en-AU" w:bidi="ar-SA"/>
        </w:rPr>
        <w:t>, following single or repeated dose administration respectively. Two groups (7 rats/</w:t>
      </w:r>
      <w:r w:rsidR="005E1CBD">
        <w:rPr>
          <w:lang w:eastAsia="en-AU" w:bidi="ar-SA"/>
        </w:rPr>
        <w:t>sex</w:t>
      </w:r>
      <w:r w:rsidR="00AD4245">
        <w:rPr>
          <w:lang w:eastAsia="en-AU" w:bidi="ar-SA"/>
        </w:rPr>
        <w:t xml:space="preserve">/group) were used for each experiment. </w:t>
      </w:r>
      <w:r w:rsidR="0088487A">
        <w:rPr>
          <w:lang w:eastAsia="en-AU" w:bidi="ar-SA"/>
        </w:rPr>
        <w:t xml:space="preserve">For the single-dose QWBA experiment, rats were administered, by oral gavage, either 100 mg/kg bw radiolabelled AM-1 or 46 mg/kg bw radiolabelled LCFA. For the repeat-dose QWBA experiment, rats received non radiolabelled test articles at the same dose level once daily for 14 days prior to the administration of the radiolabelled test articles on Day 15. Following administration of the radiolabelled test article in each experiment, one rat/sex/group was anaesthetised with isoflurane at 1, 2, 4, 8, 24, 48, or 168 h post-dosing. </w:t>
      </w:r>
      <w:r w:rsidR="000D35DE">
        <w:rPr>
          <w:lang w:eastAsia="en-AU" w:bidi="ar-SA"/>
        </w:rPr>
        <w:t xml:space="preserve">Blood was collected by cardiac puncture and the rat was then </w:t>
      </w:r>
      <w:r w:rsidR="001A2D03">
        <w:rPr>
          <w:lang w:eastAsia="en-AU" w:bidi="ar-SA"/>
        </w:rPr>
        <w:t>killed</w:t>
      </w:r>
      <w:r w:rsidR="000D35DE">
        <w:rPr>
          <w:lang w:eastAsia="en-AU" w:bidi="ar-SA"/>
        </w:rPr>
        <w:t xml:space="preserve"> using CO</w:t>
      </w:r>
      <w:r w:rsidR="000D35DE">
        <w:rPr>
          <w:vertAlign w:val="subscript"/>
          <w:lang w:eastAsia="en-AU" w:bidi="ar-SA"/>
        </w:rPr>
        <w:t>2</w:t>
      </w:r>
      <w:r w:rsidR="001A2D03" w:rsidRPr="00D15AB2">
        <w:rPr>
          <w:lang w:eastAsia="en-AU" w:bidi="ar-SA"/>
        </w:rPr>
        <w:t>,</w:t>
      </w:r>
      <w:r w:rsidR="005A3BE3">
        <w:rPr>
          <w:vertAlign w:val="subscript"/>
          <w:lang w:eastAsia="en-AU" w:bidi="ar-SA"/>
        </w:rPr>
        <w:t xml:space="preserve"> </w:t>
      </w:r>
      <w:r w:rsidR="005A3BE3">
        <w:rPr>
          <w:lang w:eastAsia="en-AU" w:bidi="ar-SA"/>
        </w:rPr>
        <w:t>frozen and processed for QWBA.</w:t>
      </w:r>
    </w:p>
    <w:p w14:paraId="27BE15BB" w14:textId="77777777" w:rsidR="004847A7" w:rsidRDefault="004847A7" w:rsidP="00FF4BC6">
      <w:pPr>
        <w:rPr>
          <w:lang w:eastAsia="en-AU" w:bidi="ar-SA"/>
        </w:rPr>
      </w:pPr>
    </w:p>
    <w:p w14:paraId="12866CA3" w14:textId="53F5181B" w:rsidR="001469B7" w:rsidRDefault="00F8252D" w:rsidP="00FF4BC6">
      <w:pPr>
        <w:rPr>
          <w:lang w:eastAsia="en-AU" w:bidi="ar-SA"/>
        </w:rPr>
      </w:pPr>
      <w:r>
        <w:rPr>
          <w:lang w:eastAsia="en-AU" w:bidi="ar-SA"/>
        </w:rPr>
        <w:t>Results indicate</w:t>
      </w:r>
      <w:r w:rsidR="001A2D03">
        <w:rPr>
          <w:lang w:eastAsia="en-AU" w:bidi="ar-SA"/>
        </w:rPr>
        <w:t>d</w:t>
      </w:r>
      <w:r>
        <w:rPr>
          <w:lang w:eastAsia="en-AU" w:bidi="ar-SA"/>
        </w:rPr>
        <w:t xml:space="preserve"> that both AM-1 and its LCFA equivalent were poorly absorbed by the oral route, and primarily excreted in the faeces. There were no sex-</w:t>
      </w:r>
      <w:r w:rsidR="001A2D03">
        <w:rPr>
          <w:lang w:eastAsia="en-AU" w:bidi="ar-SA"/>
        </w:rPr>
        <w:t>related</w:t>
      </w:r>
      <w:r>
        <w:rPr>
          <w:lang w:eastAsia="en-AU" w:bidi="ar-SA"/>
        </w:rPr>
        <w:t xml:space="preserve"> differences and repeated dose administration did not alter the results of the experiments. For both test articles, </w:t>
      </w:r>
      <w:r w:rsidR="00C77656">
        <w:rPr>
          <w:lang w:eastAsia="en-AU" w:bidi="ar-SA"/>
        </w:rPr>
        <w:t>the highest level of radiolabel measured in the plasma did not exceed</w:t>
      </w:r>
      <w:r>
        <w:rPr>
          <w:lang w:eastAsia="en-AU" w:bidi="ar-SA"/>
        </w:rPr>
        <w:t xml:space="preserve"> </w:t>
      </w:r>
      <w:r>
        <w:rPr>
          <w:rFonts w:cs="Arial"/>
          <w:lang w:eastAsia="en-AU" w:bidi="ar-SA"/>
        </w:rPr>
        <w:t>≤</w:t>
      </w:r>
      <w:r>
        <w:rPr>
          <w:lang w:eastAsia="en-AU" w:bidi="ar-SA"/>
        </w:rPr>
        <w:t xml:space="preserve"> 0.2% of the administered </w:t>
      </w:r>
      <w:r w:rsidR="00C77656">
        <w:rPr>
          <w:lang w:eastAsia="en-AU" w:bidi="ar-SA"/>
        </w:rPr>
        <w:t>radiolabel</w:t>
      </w:r>
      <w:r>
        <w:rPr>
          <w:lang w:eastAsia="en-AU" w:bidi="ar-SA"/>
        </w:rPr>
        <w:t xml:space="preserve">, and less than 3.5% of the </w:t>
      </w:r>
      <w:r w:rsidR="00C77656">
        <w:rPr>
          <w:lang w:eastAsia="en-AU" w:bidi="ar-SA"/>
        </w:rPr>
        <w:t>radiolabel</w:t>
      </w:r>
      <w:r>
        <w:rPr>
          <w:lang w:eastAsia="en-AU" w:bidi="ar-SA"/>
        </w:rPr>
        <w:t xml:space="preserve"> was recovered in urine. </w:t>
      </w:r>
      <w:r w:rsidR="00C77656">
        <w:rPr>
          <w:lang w:eastAsia="en-AU" w:bidi="ar-SA"/>
        </w:rPr>
        <w:t>These findings suggest that systemic absorption was low.  The</w:t>
      </w:r>
      <w:r>
        <w:rPr>
          <w:lang w:eastAsia="en-AU" w:bidi="ar-SA"/>
        </w:rPr>
        <w:t xml:space="preserve"> apparent oral bioavailability </w:t>
      </w:r>
      <w:r w:rsidR="00C77656">
        <w:rPr>
          <w:lang w:eastAsia="en-AU" w:bidi="ar-SA"/>
        </w:rPr>
        <w:t>was</w:t>
      </w:r>
      <w:r>
        <w:rPr>
          <w:lang w:eastAsia="en-AU" w:bidi="ar-SA"/>
        </w:rPr>
        <w:t xml:space="preserve"> approximately 11%</w:t>
      </w:r>
      <w:r w:rsidR="00C77656">
        <w:rPr>
          <w:lang w:eastAsia="en-AU" w:bidi="ar-SA"/>
        </w:rPr>
        <w:t>, but this</w:t>
      </w:r>
      <w:r>
        <w:rPr>
          <w:lang w:eastAsia="en-AU" w:bidi="ar-SA"/>
        </w:rPr>
        <w:t xml:space="preserve"> was considered to be largely attributable to absorption of metabolites produced in the intestinal lumen, including CO</w:t>
      </w:r>
      <w:r>
        <w:rPr>
          <w:vertAlign w:val="subscript"/>
          <w:lang w:eastAsia="en-AU" w:bidi="ar-SA"/>
        </w:rPr>
        <w:t>2</w:t>
      </w:r>
      <w:r>
        <w:rPr>
          <w:lang w:eastAsia="en-AU" w:bidi="ar-SA"/>
        </w:rPr>
        <w:t xml:space="preserve">, short-chain fatty acids and, from AM-1, monosaccharides. A later </w:t>
      </w:r>
      <w:r w:rsidR="00C77656">
        <w:rPr>
          <w:lang w:eastAsia="en-AU" w:bidi="ar-SA"/>
        </w:rPr>
        <w:t>peak plasma radiolabel</w:t>
      </w:r>
      <w:r>
        <w:rPr>
          <w:lang w:eastAsia="en-AU" w:bidi="ar-SA"/>
        </w:rPr>
        <w:t xml:space="preserve"> for AM-1 compared to LCFA (8 h compared to 4 h) following oral administration was </w:t>
      </w:r>
      <w:r w:rsidR="00F5176A">
        <w:rPr>
          <w:lang w:eastAsia="en-AU" w:bidi="ar-SA"/>
        </w:rPr>
        <w:t xml:space="preserve">interpreted as reflecting partial hydrolysis of AM-1 to LCFA. Distribution of radiolabel generally </w:t>
      </w:r>
      <w:r w:rsidR="00C77656">
        <w:rPr>
          <w:lang w:eastAsia="en-AU" w:bidi="ar-SA"/>
        </w:rPr>
        <w:t>corresponded to</w:t>
      </w:r>
      <w:r w:rsidR="00F5176A">
        <w:rPr>
          <w:lang w:eastAsia="en-AU" w:bidi="ar-SA"/>
        </w:rPr>
        <w:t xml:space="preserve"> tissue perfusion, although with very low radiolabel of tissues with physiological barriers (brain, eye and testis), and there was no evidence that any particular tissue was a target tissue. </w:t>
      </w:r>
      <w:r w:rsidR="007D63F4">
        <w:rPr>
          <w:lang w:eastAsia="en-AU" w:bidi="ar-SA"/>
        </w:rPr>
        <w:t>Terminal elimination phase t</w:t>
      </w:r>
      <w:r w:rsidR="007D63F4">
        <w:rPr>
          <w:vertAlign w:val="subscript"/>
          <w:lang w:eastAsia="en-AU" w:bidi="ar-SA"/>
        </w:rPr>
        <w:t>1/2</w:t>
      </w:r>
      <w:r w:rsidR="007D63F4">
        <w:rPr>
          <w:lang w:eastAsia="en-AU" w:bidi="ar-SA"/>
        </w:rPr>
        <w:t xml:space="preserve"> </w:t>
      </w:r>
      <w:r w:rsidR="00C77656">
        <w:rPr>
          <w:lang w:eastAsia="en-AU" w:bidi="ar-SA"/>
        </w:rPr>
        <w:t xml:space="preserve">for radiolabel </w:t>
      </w:r>
      <w:r w:rsidR="007D63F4">
        <w:rPr>
          <w:lang w:eastAsia="en-AU" w:bidi="ar-SA"/>
        </w:rPr>
        <w:t>was approximately 27 h in males. Very large inter</w:t>
      </w:r>
      <w:r w:rsidR="002E71A2">
        <w:rPr>
          <w:lang w:eastAsia="en-AU" w:bidi="ar-SA"/>
        </w:rPr>
        <w:t>-</w:t>
      </w:r>
      <w:r w:rsidR="007D63F4">
        <w:rPr>
          <w:lang w:eastAsia="en-AU" w:bidi="ar-SA"/>
        </w:rPr>
        <w:t>individual variability in females at 24 h confounded determination of the terminal elimination phase t</w:t>
      </w:r>
      <w:r w:rsidR="007D63F4">
        <w:rPr>
          <w:vertAlign w:val="subscript"/>
          <w:lang w:eastAsia="en-AU" w:bidi="ar-SA"/>
        </w:rPr>
        <w:t>1/2</w:t>
      </w:r>
      <w:r w:rsidR="007D63F4">
        <w:rPr>
          <w:lang w:eastAsia="en-AU" w:bidi="ar-SA"/>
        </w:rPr>
        <w:t>, but overall, data indicated that pharmacokinetics in females were similar to those in males.</w:t>
      </w:r>
      <w:r w:rsidR="00D218B4">
        <w:rPr>
          <w:lang w:eastAsia="en-AU" w:bidi="ar-SA"/>
        </w:rPr>
        <w:t xml:space="preserve"> </w:t>
      </w:r>
      <w:r w:rsidR="001A2D03">
        <w:rPr>
          <w:lang w:eastAsia="en-AU" w:bidi="ar-SA"/>
        </w:rPr>
        <w:t>Recovery o</w:t>
      </w:r>
      <w:r w:rsidR="00D218B4">
        <w:rPr>
          <w:lang w:eastAsia="en-AU" w:bidi="ar-SA"/>
        </w:rPr>
        <w:t xml:space="preserve">f the administered radiolabel was </w:t>
      </w:r>
      <w:r w:rsidR="00E734A4" w:rsidRPr="00E734A4">
        <w:rPr>
          <w:lang w:eastAsia="en-AU" w:bidi="ar-SA"/>
        </w:rPr>
        <w:t xml:space="preserve">88% to 101% </w:t>
      </w:r>
      <w:r w:rsidR="00D218B4">
        <w:rPr>
          <w:lang w:eastAsia="en-AU" w:bidi="ar-SA"/>
        </w:rPr>
        <w:t>in expired air, urine, faeces and carcass. Most radiolabel was located in the gastrointestinal tract on QWBA.</w:t>
      </w:r>
      <w:r w:rsidR="007D63F4">
        <w:rPr>
          <w:lang w:eastAsia="en-AU" w:bidi="ar-SA"/>
        </w:rPr>
        <w:t xml:space="preserve"> </w:t>
      </w:r>
      <w:r w:rsidR="00331D9B">
        <w:rPr>
          <w:lang w:eastAsia="en-AU" w:bidi="ar-SA"/>
        </w:rPr>
        <w:t xml:space="preserve">The results are consistent with low oral bioavailability and absence of </w:t>
      </w:r>
      <w:r w:rsidR="00D218B4">
        <w:rPr>
          <w:lang w:eastAsia="en-AU" w:bidi="ar-SA"/>
        </w:rPr>
        <w:t xml:space="preserve">residence or </w:t>
      </w:r>
      <w:r w:rsidR="00331D9B">
        <w:rPr>
          <w:lang w:eastAsia="en-AU" w:bidi="ar-SA"/>
        </w:rPr>
        <w:t>accumulation in any particular tissue.</w:t>
      </w:r>
    </w:p>
    <w:p w14:paraId="7274DB39" w14:textId="35400B8C" w:rsidR="00AA2C10" w:rsidRDefault="001A57F4" w:rsidP="00A9190F">
      <w:pPr>
        <w:pStyle w:val="Heading3"/>
      </w:pPr>
      <w:bookmarkStart w:id="94" w:name="_Toc43217054"/>
      <w:bookmarkStart w:id="95" w:name="_Toc44401539"/>
      <w:bookmarkStart w:id="96" w:name="_Toc45284291"/>
      <w:bookmarkStart w:id="97" w:name="_Toc46929414"/>
      <w:r>
        <w:t>4</w:t>
      </w:r>
      <w:r w:rsidR="00AA2C10" w:rsidRPr="00AA2C10">
        <w:t>.2.3 Acute toxicity studies in animals</w:t>
      </w:r>
      <w:bookmarkEnd w:id="94"/>
      <w:bookmarkEnd w:id="95"/>
      <w:bookmarkEnd w:id="96"/>
      <w:bookmarkEnd w:id="97"/>
    </w:p>
    <w:p w14:paraId="6AC94F94" w14:textId="3991D222" w:rsidR="00152EA3" w:rsidRDefault="00152EA3" w:rsidP="00FF4BC6">
      <w:pPr>
        <w:rPr>
          <w:i/>
          <w:lang w:eastAsia="en-AU" w:bidi="ar-SA"/>
        </w:rPr>
      </w:pPr>
      <w:r w:rsidRPr="00FF4BC6">
        <w:rPr>
          <w:i/>
          <w:lang w:eastAsia="en-AU" w:bidi="ar-SA"/>
        </w:rPr>
        <w:t xml:space="preserve">Acute oral toxicity study </w:t>
      </w:r>
      <w:r w:rsidR="00064C0B" w:rsidRPr="00FF4BC6">
        <w:rPr>
          <w:i/>
          <w:lang w:eastAsia="en-AU" w:bidi="ar-SA"/>
        </w:rPr>
        <w:t xml:space="preserve">of </w:t>
      </w:r>
      <w:r w:rsidRPr="00FF4BC6">
        <w:rPr>
          <w:i/>
          <w:lang w:eastAsia="en-AU" w:bidi="ar-SA"/>
        </w:rPr>
        <w:t xml:space="preserve">glycolipids from </w:t>
      </w:r>
      <w:r w:rsidRPr="00FF4BC6">
        <w:rPr>
          <w:lang w:eastAsia="en-AU" w:bidi="ar-SA"/>
        </w:rPr>
        <w:t>Dacr</w:t>
      </w:r>
      <w:r w:rsidR="001E5330">
        <w:rPr>
          <w:lang w:eastAsia="en-AU" w:bidi="ar-SA"/>
        </w:rPr>
        <w:t>y</w:t>
      </w:r>
      <w:r w:rsidRPr="00FF4BC6">
        <w:rPr>
          <w:lang w:eastAsia="en-AU" w:bidi="ar-SA"/>
        </w:rPr>
        <w:t>opinax spathularia</w:t>
      </w:r>
      <w:r w:rsidRPr="00FF4BC6">
        <w:rPr>
          <w:i/>
          <w:lang w:eastAsia="en-AU" w:bidi="ar-SA"/>
        </w:rPr>
        <w:t xml:space="preserve"> in </w:t>
      </w:r>
      <w:r w:rsidR="000A428D" w:rsidRPr="00FF4BC6">
        <w:rPr>
          <w:i/>
          <w:lang w:eastAsia="en-AU" w:bidi="ar-SA"/>
        </w:rPr>
        <w:t xml:space="preserve">Han </w:t>
      </w:r>
      <w:r w:rsidRPr="00FF4BC6">
        <w:rPr>
          <w:i/>
          <w:lang w:eastAsia="en-AU" w:bidi="ar-SA"/>
        </w:rPr>
        <w:t>Wistar rats (BSL Bioservice 2012</w:t>
      </w:r>
      <w:r w:rsidR="00064C0B" w:rsidRPr="00FF4BC6">
        <w:rPr>
          <w:i/>
          <w:lang w:eastAsia="en-AU" w:bidi="ar-SA"/>
        </w:rPr>
        <w:t xml:space="preserve">; </w:t>
      </w:r>
      <w:r w:rsidR="00064C0B" w:rsidRPr="00F67A5A">
        <w:rPr>
          <w:i/>
          <w:lang w:eastAsia="en-AU" w:bidi="ar-SA"/>
        </w:rPr>
        <w:t>Bitzer et al 2017b</w:t>
      </w:r>
      <w:r w:rsidRPr="00FF4BC6">
        <w:rPr>
          <w:i/>
          <w:lang w:eastAsia="en-AU" w:bidi="ar-SA"/>
        </w:rPr>
        <w:t>) Regulatory status: GLP</w:t>
      </w:r>
      <w:r w:rsidR="00064C0B" w:rsidRPr="00FF4BC6">
        <w:rPr>
          <w:i/>
          <w:lang w:eastAsia="en-AU" w:bidi="ar-SA"/>
        </w:rPr>
        <w:t xml:space="preserve">; conducted following OECD Guideline No. 423; Commission Regulation (EC) No. 440/2008; EPA Guideline OPPTS 870.1000 EPA 712-C-02-189 and 712-C-02-190. </w:t>
      </w:r>
    </w:p>
    <w:p w14:paraId="41031B02" w14:textId="77777777" w:rsidR="00FF4BC6" w:rsidRPr="00FF4BC6" w:rsidRDefault="00FF4BC6" w:rsidP="00FF4BC6">
      <w:pPr>
        <w:rPr>
          <w:i/>
          <w:lang w:eastAsia="en-AU" w:bidi="ar-SA"/>
        </w:rPr>
      </w:pPr>
    </w:p>
    <w:p w14:paraId="7A85DEF6" w14:textId="21A8AA4B" w:rsidR="000A428D" w:rsidRDefault="00064C0B" w:rsidP="00FF4BC6">
      <w:pPr>
        <w:rPr>
          <w:lang w:eastAsia="en-AU" w:bidi="ar-SA"/>
        </w:rPr>
      </w:pPr>
      <w:r w:rsidRPr="00064C0B">
        <w:rPr>
          <w:lang w:eastAsia="en-AU" w:bidi="ar-SA"/>
        </w:rPr>
        <w:t xml:space="preserve">The </w:t>
      </w:r>
      <w:r>
        <w:rPr>
          <w:lang w:eastAsia="en-AU" w:bidi="ar-SA"/>
        </w:rPr>
        <w:t xml:space="preserve">BSL Bioservice </w:t>
      </w:r>
      <w:r w:rsidRPr="00064C0B">
        <w:rPr>
          <w:lang w:eastAsia="en-AU" w:bidi="ar-SA"/>
        </w:rPr>
        <w:t>study report for this study does not</w:t>
      </w:r>
      <w:r w:rsidRPr="00064C0B">
        <w:rPr>
          <w:b/>
          <w:lang w:eastAsia="en-AU" w:bidi="ar-SA"/>
        </w:rPr>
        <w:t xml:space="preserve"> </w:t>
      </w:r>
      <w:r w:rsidRPr="00064C0B">
        <w:rPr>
          <w:lang w:eastAsia="en-AU" w:bidi="ar-SA"/>
        </w:rPr>
        <w:t xml:space="preserve">identify the </w:t>
      </w:r>
      <w:r>
        <w:rPr>
          <w:lang w:eastAsia="en-AU" w:bidi="ar-SA"/>
        </w:rPr>
        <w:t xml:space="preserve">test article but uses a code name, IM-11. According to Bitzer et al (2017b), </w:t>
      </w:r>
      <w:r w:rsidR="000A428D">
        <w:rPr>
          <w:lang w:eastAsia="en-AU" w:bidi="ar-SA"/>
        </w:rPr>
        <w:t>who summarized the same study,</w:t>
      </w:r>
      <w:r w:rsidR="005908EE">
        <w:rPr>
          <w:lang w:eastAsia="en-AU" w:bidi="ar-SA"/>
        </w:rPr>
        <w:t xml:space="preserve"> </w:t>
      </w:r>
      <w:r>
        <w:rPr>
          <w:lang w:eastAsia="en-AU" w:bidi="ar-SA"/>
        </w:rPr>
        <w:t xml:space="preserve">the test article was </w:t>
      </w:r>
      <w:r w:rsidR="001E5330">
        <w:rPr>
          <w:lang w:eastAsia="en-AU" w:bidi="ar-SA"/>
        </w:rPr>
        <w:t xml:space="preserve">the commercial product that is the subject of the application, referred to as </w:t>
      </w:r>
      <w:r w:rsidR="000A428D">
        <w:rPr>
          <w:lang w:eastAsia="en-AU" w:bidi="ar-SA"/>
        </w:rPr>
        <w:t xml:space="preserve">AM-1. The test article was </w:t>
      </w:r>
      <w:r w:rsidR="000A428D">
        <w:rPr>
          <w:rFonts w:cs="Arial"/>
          <w:lang w:eastAsia="en-AU" w:bidi="ar-SA"/>
        </w:rPr>
        <w:t>≥</w:t>
      </w:r>
      <w:r w:rsidR="000A428D">
        <w:rPr>
          <w:lang w:eastAsia="en-AU" w:bidi="ar-SA"/>
        </w:rPr>
        <w:t xml:space="preserve">90% pure. The dose formulation was prepared by homogenising the test article in sterile water (water for injection). The suspension was mixed by vortex immediately before administration. </w:t>
      </w:r>
    </w:p>
    <w:p w14:paraId="200B496D" w14:textId="77777777" w:rsidR="00FF4BC6" w:rsidRDefault="00FF4BC6" w:rsidP="00FF4BC6">
      <w:pPr>
        <w:rPr>
          <w:lang w:eastAsia="en-AU" w:bidi="ar-SA"/>
        </w:rPr>
      </w:pPr>
    </w:p>
    <w:p w14:paraId="7CF431D5" w14:textId="0A4D10C9" w:rsidR="00331D9B" w:rsidRDefault="000A428D" w:rsidP="00FF4BC6">
      <w:pPr>
        <w:rPr>
          <w:lang w:eastAsia="en-AU" w:bidi="ar-SA"/>
        </w:rPr>
      </w:pPr>
      <w:r>
        <w:rPr>
          <w:lang w:eastAsia="en-AU" w:bidi="ar-SA"/>
        </w:rPr>
        <w:t>The test system comprised female Han Wistar rats, aged between 8 and 11 weeks old. Rats were group-housed under standard laboratory environmental and husbandry conditions, and acclimatised to laboratory conditions for at least 5 days prior to study start.  The study was conducted in two steps</w:t>
      </w:r>
      <w:r w:rsidR="00C16C65">
        <w:rPr>
          <w:lang w:eastAsia="en-AU" w:bidi="ar-SA"/>
        </w:rPr>
        <w:t>, with three rats dosed at each step</w:t>
      </w:r>
      <w:r>
        <w:rPr>
          <w:lang w:eastAsia="en-AU" w:bidi="ar-SA"/>
        </w:rPr>
        <w:t xml:space="preserve">. Rats weighed between 149 and 181 g on the day of administration in Step 1, and between 152 and 166 g on the day of administration in Step 2. </w:t>
      </w:r>
      <w:r w:rsidR="0054172A">
        <w:rPr>
          <w:lang w:eastAsia="en-AU" w:bidi="ar-SA"/>
        </w:rPr>
        <w:t xml:space="preserve">Dose formulation was administered as a single oral gavage administration, at a dose volume of 10 mL/kg bw, at a dose level of 2000 mg/kg bw. </w:t>
      </w:r>
    </w:p>
    <w:p w14:paraId="33CE1A3B" w14:textId="00DC6920" w:rsidR="00C16C65" w:rsidRDefault="00C16C65" w:rsidP="00FF4BC6">
      <w:pPr>
        <w:rPr>
          <w:lang w:eastAsia="en-AU" w:bidi="ar-SA"/>
        </w:rPr>
      </w:pPr>
      <w:r>
        <w:rPr>
          <w:lang w:eastAsia="en-AU" w:bidi="ar-SA"/>
        </w:rPr>
        <w:t xml:space="preserve">Rats were subject to in-hand and cageside observations prior to dose administration, multiple times on the day of dose administration including at least once during the first 30 min post-dose, and daily on subsequent days, for 14 days. Rats were weighed prior to dose administration and on Days 8 and 15. On Day 15, rats were killed with intraperitoneal pentobarbital and subject to gross necropsy. </w:t>
      </w:r>
    </w:p>
    <w:p w14:paraId="22B9A2E7" w14:textId="77777777" w:rsidR="004847A7" w:rsidRDefault="004847A7" w:rsidP="00FF4BC6">
      <w:pPr>
        <w:rPr>
          <w:lang w:eastAsia="en-AU" w:bidi="ar-SA"/>
        </w:rPr>
      </w:pPr>
    </w:p>
    <w:p w14:paraId="3D0A5BB6" w14:textId="3FF48409" w:rsidR="00C16C65" w:rsidRPr="00C37F89" w:rsidRDefault="00C16C65" w:rsidP="00FF4BC6">
      <w:pPr>
        <w:rPr>
          <w:lang w:eastAsia="en-AU" w:bidi="ar-SA"/>
        </w:rPr>
      </w:pPr>
      <w:r>
        <w:rPr>
          <w:lang w:eastAsia="en-AU" w:bidi="ar-SA"/>
        </w:rPr>
        <w:t xml:space="preserve">All rats survived to Day 15. There were no clinical observations in any of the three rats dosed in Step 1. In Step 2, one rat exhibited slight piloerection at 3 h post-dose, and another exhibited slight piloerection at 3 and at 4 h. The third rat remained normal throughout. The finding of transient piloerection </w:t>
      </w:r>
      <w:r w:rsidR="00912039">
        <w:rPr>
          <w:lang w:eastAsia="en-AU" w:bidi="ar-SA"/>
        </w:rPr>
        <w:t xml:space="preserve">was not considered </w:t>
      </w:r>
      <w:r w:rsidR="00BB47AD">
        <w:rPr>
          <w:lang w:eastAsia="en-AU" w:bidi="ar-SA"/>
        </w:rPr>
        <w:t xml:space="preserve">by the study director </w:t>
      </w:r>
      <w:r w:rsidR="00912039">
        <w:rPr>
          <w:lang w:eastAsia="en-AU" w:bidi="ar-SA"/>
        </w:rPr>
        <w:t>to be test article-related</w:t>
      </w:r>
      <w:r w:rsidR="00810E3C">
        <w:rPr>
          <w:lang w:eastAsia="en-AU" w:bidi="ar-SA"/>
        </w:rPr>
        <w:t xml:space="preserve">, but was attributed to stress in response to the administration procedure. </w:t>
      </w:r>
      <w:r w:rsidR="00F54ECF">
        <w:rPr>
          <w:lang w:eastAsia="en-AU" w:bidi="ar-SA"/>
        </w:rPr>
        <w:t xml:space="preserve">Bodyweight gains during the observation period were within </w:t>
      </w:r>
      <w:r w:rsidR="001D5DF1">
        <w:rPr>
          <w:lang w:eastAsia="en-AU" w:bidi="ar-SA"/>
        </w:rPr>
        <w:t xml:space="preserve">the </w:t>
      </w:r>
      <w:r w:rsidR="00F54ECF">
        <w:rPr>
          <w:lang w:eastAsia="en-AU" w:bidi="ar-SA"/>
        </w:rPr>
        <w:t xml:space="preserve">normal range for female Han Wistar rats of the age ranges covered in the study. </w:t>
      </w:r>
      <w:r w:rsidR="001D5DF1">
        <w:rPr>
          <w:lang w:eastAsia="en-AU" w:bidi="ar-SA"/>
        </w:rPr>
        <w:t>T</w:t>
      </w:r>
      <w:r w:rsidR="00C37F89">
        <w:rPr>
          <w:lang w:eastAsia="en-AU" w:bidi="ar-SA"/>
        </w:rPr>
        <w:t xml:space="preserve">here were no significant findings in any rats </w:t>
      </w:r>
      <w:r w:rsidR="001D5DF1">
        <w:rPr>
          <w:lang w:eastAsia="en-AU" w:bidi="ar-SA"/>
        </w:rPr>
        <w:t>up</w:t>
      </w:r>
      <w:r w:rsidR="00C37F89">
        <w:rPr>
          <w:lang w:eastAsia="en-AU" w:bidi="ar-SA"/>
        </w:rPr>
        <w:t>on gross necropsy. It was concluded that the acute oral LD</w:t>
      </w:r>
      <w:r w:rsidR="00C37F89">
        <w:rPr>
          <w:vertAlign w:val="subscript"/>
          <w:lang w:eastAsia="en-AU" w:bidi="ar-SA"/>
        </w:rPr>
        <w:t>50</w:t>
      </w:r>
      <w:r w:rsidR="00C37F89">
        <w:rPr>
          <w:lang w:eastAsia="en-AU" w:bidi="ar-SA"/>
        </w:rPr>
        <w:t xml:space="preserve"> in </w:t>
      </w:r>
      <w:r w:rsidR="00D824A8">
        <w:rPr>
          <w:lang w:eastAsia="en-AU" w:bidi="ar-SA"/>
        </w:rPr>
        <w:t xml:space="preserve">was greater than the highest dose tested, </w:t>
      </w:r>
      <w:r w:rsidR="00C37F89">
        <w:rPr>
          <w:lang w:eastAsia="en-AU" w:bidi="ar-SA"/>
        </w:rPr>
        <w:t xml:space="preserve"> 2000 mg/kg. </w:t>
      </w:r>
    </w:p>
    <w:p w14:paraId="080B1412" w14:textId="4386938E" w:rsidR="00AA2C10" w:rsidRDefault="001A57F4" w:rsidP="00A9190F">
      <w:pPr>
        <w:pStyle w:val="Heading3"/>
      </w:pPr>
      <w:bookmarkStart w:id="98" w:name="_Toc43217055"/>
      <w:bookmarkStart w:id="99" w:name="_Toc44401540"/>
      <w:bookmarkStart w:id="100" w:name="_Toc45284292"/>
      <w:bookmarkStart w:id="101" w:name="_Toc46929415"/>
      <w:r>
        <w:t>4</w:t>
      </w:r>
      <w:r w:rsidR="00AA2C10" w:rsidRPr="00AA2C10">
        <w:t>.2.4 Short-term toxicity studies in animals</w:t>
      </w:r>
      <w:bookmarkEnd w:id="98"/>
      <w:bookmarkEnd w:id="99"/>
      <w:bookmarkEnd w:id="100"/>
      <w:bookmarkEnd w:id="101"/>
    </w:p>
    <w:p w14:paraId="7A09CF41" w14:textId="542CC02E" w:rsidR="00F54ECF" w:rsidRDefault="00F54ECF" w:rsidP="00FF4BC6">
      <w:pPr>
        <w:rPr>
          <w:i/>
          <w:lang w:eastAsia="en-AU" w:bidi="ar-SA"/>
        </w:rPr>
      </w:pPr>
      <w:r w:rsidRPr="00FF4BC6">
        <w:rPr>
          <w:i/>
          <w:lang w:eastAsia="en-AU" w:bidi="ar-SA"/>
        </w:rPr>
        <w:t xml:space="preserve">Ninety-day repeat-dose oral toxicity study of glycolipids from </w:t>
      </w:r>
      <w:r w:rsidRPr="00FF4BC6">
        <w:rPr>
          <w:lang w:eastAsia="en-AU" w:bidi="ar-SA"/>
        </w:rPr>
        <w:t>Dacr</w:t>
      </w:r>
      <w:r w:rsidR="001E5330">
        <w:rPr>
          <w:lang w:eastAsia="en-AU" w:bidi="ar-SA"/>
        </w:rPr>
        <w:t>y</w:t>
      </w:r>
      <w:r w:rsidRPr="00FF4BC6">
        <w:rPr>
          <w:lang w:eastAsia="en-AU" w:bidi="ar-SA"/>
        </w:rPr>
        <w:t>opinax spathularia</w:t>
      </w:r>
      <w:r w:rsidRPr="00FF4BC6">
        <w:rPr>
          <w:i/>
          <w:lang w:eastAsia="en-AU" w:bidi="ar-SA"/>
        </w:rPr>
        <w:t xml:space="preserve"> </w:t>
      </w:r>
      <w:r w:rsidR="00E71448" w:rsidRPr="00FF4BC6">
        <w:rPr>
          <w:i/>
          <w:lang w:eastAsia="en-AU" w:bidi="ar-SA"/>
        </w:rPr>
        <w:t xml:space="preserve">in Sprague Dawley rats </w:t>
      </w:r>
      <w:r w:rsidRPr="00FF4BC6">
        <w:rPr>
          <w:i/>
          <w:lang w:eastAsia="en-AU" w:bidi="ar-SA"/>
        </w:rPr>
        <w:t>[</w:t>
      </w:r>
      <w:r w:rsidR="004A609B" w:rsidRPr="00FF4BC6">
        <w:rPr>
          <w:i/>
          <w:lang w:eastAsia="en-AU" w:bidi="ar-SA"/>
        </w:rPr>
        <w:t>LPT GmbH &amp; Co. 2015</w:t>
      </w:r>
      <w:r w:rsidRPr="00F67A5A">
        <w:rPr>
          <w:i/>
          <w:lang w:eastAsia="en-AU" w:bidi="ar-SA"/>
        </w:rPr>
        <w:t>; Bitzer et al 2017b</w:t>
      </w:r>
      <w:r w:rsidRPr="00FF4BC6">
        <w:rPr>
          <w:i/>
          <w:lang w:eastAsia="en-AU" w:bidi="ar-SA"/>
        </w:rPr>
        <w:t xml:space="preserve">) Regulatory status: GLP; conducted </w:t>
      </w:r>
      <w:r w:rsidR="004A609B" w:rsidRPr="00FF4BC6">
        <w:rPr>
          <w:i/>
          <w:lang w:eastAsia="en-AU" w:bidi="ar-SA"/>
        </w:rPr>
        <w:t>according to</w:t>
      </w:r>
      <w:r w:rsidRPr="00FF4BC6">
        <w:rPr>
          <w:i/>
          <w:lang w:eastAsia="en-AU" w:bidi="ar-SA"/>
        </w:rPr>
        <w:t xml:space="preserve"> OECD Guideline</w:t>
      </w:r>
      <w:r w:rsidR="004A609B" w:rsidRPr="00FF4BC6">
        <w:rPr>
          <w:i/>
          <w:lang w:eastAsia="en-AU" w:bidi="ar-SA"/>
        </w:rPr>
        <w:t xml:space="preserve"> 408, EC Method B26 and US FDA Redbook</w:t>
      </w:r>
      <w:r w:rsidRPr="00FF4BC6">
        <w:rPr>
          <w:i/>
          <w:lang w:eastAsia="en-AU" w:bidi="ar-SA"/>
        </w:rPr>
        <w:t xml:space="preserve"> </w:t>
      </w:r>
    </w:p>
    <w:p w14:paraId="5EC5E672" w14:textId="77777777" w:rsidR="00FF4BC6" w:rsidRPr="00FF4BC6" w:rsidRDefault="00FF4BC6" w:rsidP="00FF4BC6">
      <w:pPr>
        <w:rPr>
          <w:i/>
          <w:lang w:eastAsia="en-AU" w:bidi="ar-SA"/>
        </w:rPr>
      </w:pPr>
    </w:p>
    <w:p w14:paraId="75E9062D" w14:textId="1E03D8F5" w:rsidR="00F54ECF" w:rsidRDefault="00A83D8A" w:rsidP="00FF4BC6">
      <w:pPr>
        <w:rPr>
          <w:lang w:eastAsia="en-AU" w:bidi="ar-SA"/>
        </w:rPr>
      </w:pPr>
      <w:r w:rsidRPr="00A83D8A">
        <w:rPr>
          <w:lang w:eastAsia="en-AU" w:bidi="ar-SA"/>
        </w:rPr>
        <w:t>This study was conducted using AM-1</w:t>
      </w:r>
      <w:r>
        <w:rPr>
          <w:lang w:eastAsia="en-AU" w:bidi="ar-SA"/>
        </w:rPr>
        <w:t xml:space="preserve">, </w:t>
      </w:r>
      <w:r w:rsidR="005F2BDB">
        <w:rPr>
          <w:lang w:eastAsia="en-AU" w:bidi="ar-SA"/>
        </w:rPr>
        <w:t xml:space="preserve">complying with established specifications for identity, composition, impurities and contaminants, and with a purity of </w:t>
      </w:r>
      <w:r w:rsidR="005F2BDB">
        <w:rPr>
          <w:rFonts w:cs="Arial"/>
          <w:lang w:eastAsia="en-AU" w:bidi="ar-SA"/>
        </w:rPr>
        <w:t>≥</w:t>
      </w:r>
      <w:r w:rsidR="005F2BDB">
        <w:rPr>
          <w:lang w:eastAsia="en-AU" w:bidi="ar-SA"/>
        </w:rPr>
        <w:t xml:space="preserve">92%. The test article was administered in the drinking water at target concentrations of 0, 1.5, 5.0 and 15 </w:t>
      </w:r>
      <w:r w:rsidR="000C145D">
        <w:rPr>
          <w:lang w:eastAsia="en-AU" w:bidi="ar-SA"/>
        </w:rPr>
        <w:t>mg/mL</w:t>
      </w:r>
      <w:r w:rsidR="005F2BDB">
        <w:rPr>
          <w:lang w:eastAsia="en-AU" w:bidi="ar-SA"/>
        </w:rPr>
        <w:t>. Drinking water was selected as the route of exposure on the basis that the intended use of the test article is as a preservative in beverages, and dose levels were selected on the basis of absence of adverse findings in an unpublished 14-day dose range</w:t>
      </w:r>
      <w:r w:rsidR="00681AF3">
        <w:rPr>
          <w:lang w:eastAsia="en-AU" w:bidi="ar-SA"/>
        </w:rPr>
        <w:t>-</w:t>
      </w:r>
      <w:r w:rsidR="005F2BDB">
        <w:rPr>
          <w:lang w:eastAsia="en-AU" w:bidi="ar-SA"/>
        </w:rPr>
        <w:t xml:space="preserve">finding study. Dose formulations were prepared once weekly, stored refrigerated, and warmed to room temperature and stirred for at least 15 min before being supplied to animals. Water bottles were changed daily. Concentration was analysed in the formulations prepared for Week 1 and Week 13.  Stability was determined after 7 and 14 days of storage at room temperature. </w:t>
      </w:r>
    </w:p>
    <w:p w14:paraId="0B11F280" w14:textId="77777777" w:rsidR="00FF4BC6" w:rsidRDefault="00FF4BC6" w:rsidP="00FF4BC6">
      <w:pPr>
        <w:rPr>
          <w:color w:val="FF0000"/>
          <w:lang w:eastAsia="en-AU" w:bidi="ar-SA"/>
        </w:rPr>
      </w:pPr>
    </w:p>
    <w:p w14:paraId="344FF145" w14:textId="6C2AE13F" w:rsidR="00181D94" w:rsidRDefault="005F2BDB" w:rsidP="00FF4BC6">
      <w:pPr>
        <w:rPr>
          <w:lang w:eastAsia="en-AU" w:bidi="ar-SA"/>
        </w:rPr>
      </w:pPr>
      <w:r w:rsidRPr="005F2BDB">
        <w:rPr>
          <w:lang w:eastAsia="en-AU" w:bidi="ar-SA"/>
        </w:rPr>
        <w:t>Test</w:t>
      </w:r>
      <w:r>
        <w:rPr>
          <w:lang w:eastAsia="en-AU" w:bidi="ar-SA"/>
        </w:rPr>
        <w:t xml:space="preserve"> subjects were Sprague Dawley rats, </w:t>
      </w:r>
      <w:r w:rsidR="007F5E57">
        <w:rPr>
          <w:lang w:eastAsia="en-AU" w:bidi="ar-SA"/>
        </w:rPr>
        <w:t xml:space="preserve">aged 32-34 days at receipt. </w:t>
      </w:r>
      <w:r w:rsidR="00A137F2">
        <w:rPr>
          <w:lang w:eastAsia="en-AU" w:bidi="ar-SA"/>
        </w:rPr>
        <w:t xml:space="preserve">Rats were acclimatised to standard laboratory environmental conditions for 6 to 7 days prior to study start. They were single-housed and provided with standard laboratory rat feed </w:t>
      </w:r>
      <w:r w:rsidR="00A137F2" w:rsidRPr="00A137F2">
        <w:rPr>
          <w:i/>
          <w:lang w:eastAsia="en-AU" w:bidi="ar-SA"/>
        </w:rPr>
        <w:t>ad libitum</w:t>
      </w:r>
      <w:r w:rsidR="00A137F2">
        <w:rPr>
          <w:i/>
          <w:lang w:eastAsia="en-AU" w:bidi="ar-SA"/>
        </w:rPr>
        <w:t xml:space="preserve">. </w:t>
      </w:r>
      <w:r w:rsidR="00A137F2">
        <w:rPr>
          <w:lang w:eastAsia="en-AU" w:bidi="ar-SA"/>
        </w:rPr>
        <w:t xml:space="preserve">Drinking water or dose formulation was provided by bottle to allow </w:t>
      </w:r>
      <w:r w:rsidR="00A137F2" w:rsidRPr="00A137F2">
        <w:rPr>
          <w:i/>
          <w:lang w:eastAsia="en-AU" w:bidi="ar-SA"/>
        </w:rPr>
        <w:t>ad libitum</w:t>
      </w:r>
      <w:r w:rsidR="00A137F2">
        <w:rPr>
          <w:lang w:eastAsia="en-AU" w:bidi="ar-SA"/>
        </w:rPr>
        <w:t xml:space="preserve"> fluid intake. On Day 1 of study, males weighed 148.3 to 174.5 g, and females </w:t>
      </w:r>
      <w:r w:rsidR="00931DEF">
        <w:rPr>
          <w:lang w:eastAsia="en-AU" w:bidi="ar-SA"/>
        </w:rPr>
        <w:t xml:space="preserve">weighed 130.2 to 158.5 g. Rats were assigned to main study groups of 20/sex/group, or to additional </w:t>
      </w:r>
      <w:r w:rsidR="00D824A8">
        <w:rPr>
          <w:lang w:eastAsia="en-AU" w:bidi="ar-SA"/>
        </w:rPr>
        <w:t xml:space="preserve">recovery </w:t>
      </w:r>
      <w:r w:rsidR="00931DEF">
        <w:rPr>
          <w:lang w:eastAsia="en-AU" w:bidi="ar-SA"/>
        </w:rPr>
        <w:t xml:space="preserve">cohorts of 10/sex/group for the control and 15 </w:t>
      </w:r>
      <w:r w:rsidR="000C145D">
        <w:rPr>
          <w:lang w:eastAsia="en-AU" w:bidi="ar-SA"/>
        </w:rPr>
        <w:t>mg/mL</w:t>
      </w:r>
      <w:r w:rsidR="00931DEF">
        <w:rPr>
          <w:lang w:eastAsia="en-AU" w:bidi="ar-SA"/>
        </w:rPr>
        <w:t xml:space="preserve"> dose levels.</w:t>
      </w:r>
      <w:r w:rsidR="00765424">
        <w:rPr>
          <w:lang w:eastAsia="en-AU" w:bidi="ar-SA"/>
        </w:rPr>
        <w:t xml:space="preserve"> </w:t>
      </w:r>
    </w:p>
    <w:p w14:paraId="5F57FD18" w14:textId="77777777" w:rsidR="00FF4BC6" w:rsidRDefault="00FF4BC6" w:rsidP="00FF4BC6">
      <w:pPr>
        <w:rPr>
          <w:lang w:eastAsia="en-AU" w:bidi="ar-SA"/>
        </w:rPr>
      </w:pPr>
    </w:p>
    <w:p w14:paraId="7FE956CD" w14:textId="63F653E3" w:rsidR="00115AB8" w:rsidRDefault="00181D94" w:rsidP="00FF4BC6">
      <w:pPr>
        <w:rPr>
          <w:color w:val="000000" w:themeColor="text1"/>
          <w:lang w:eastAsia="en-AU" w:bidi="ar-SA"/>
        </w:rPr>
      </w:pPr>
      <w:r>
        <w:rPr>
          <w:lang w:eastAsia="en-AU" w:bidi="ar-SA"/>
        </w:rPr>
        <w:t xml:space="preserve">Bodyweights were recorded at time of group assignment, on Day 1 of study, weekly during the in-life phase, and on the day of necropsy. </w:t>
      </w:r>
      <w:r>
        <w:rPr>
          <w:color w:val="000000" w:themeColor="text1"/>
          <w:lang w:eastAsia="en-AU" w:bidi="ar-SA"/>
        </w:rPr>
        <w:t xml:space="preserve">Food </w:t>
      </w:r>
      <w:r w:rsidR="00115AB8">
        <w:rPr>
          <w:color w:val="000000" w:themeColor="text1"/>
          <w:lang w:eastAsia="en-AU" w:bidi="ar-SA"/>
        </w:rPr>
        <w:t xml:space="preserve">consumption </w:t>
      </w:r>
      <w:r>
        <w:rPr>
          <w:color w:val="000000" w:themeColor="text1"/>
          <w:lang w:eastAsia="en-AU" w:bidi="ar-SA"/>
        </w:rPr>
        <w:t>was</w:t>
      </w:r>
      <w:r w:rsidR="00115AB8">
        <w:rPr>
          <w:color w:val="000000" w:themeColor="text1"/>
          <w:lang w:eastAsia="en-AU" w:bidi="ar-SA"/>
        </w:rPr>
        <w:t xml:space="preserve"> measured weekly, and fluid intake was measured daily. </w:t>
      </w:r>
      <w:r w:rsidR="00765424">
        <w:rPr>
          <w:color w:val="000000" w:themeColor="text1"/>
          <w:lang w:eastAsia="en-AU" w:bidi="ar-SA"/>
        </w:rPr>
        <w:t xml:space="preserve">Clinical observations included twice-daily mortality/moribundity checks, daily cageside observations, and weekly detailed assessments. The weekly assessments included in-hand examinations, and observation in an arena for </w:t>
      </w:r>
      <w:r w:rsidR="00684434">
        <w:rPr>
          <w:color w:val="000000" w:themeColor="text1"/>
          <w:lang w:eastAsia="en-AU" w:bidi="ar-SA"/>
        </w:rPr>
        <w:t xml:space="preserve">any abnormalities in </w:t>
      </w:r>
      <w:r w:rsidR="00980BBE">
        <w:rPr>
          <w:color w:val="000000" w:themeColor="text1"/>
          <w:lang w:eastAsia="en-AU" w:bidi="ar-SA"/>
        </w:rPr>
        <w:t xml:space="preserve">locomotion </w:t>
      </w:r>
      <w:r w:rsidR="00684434">
        <w:rPr>
          <w:color w:val="000000" w:themeColor="text1"/>
          <w:lang w:eastAsia="en-AU" w:bidi="ar-SA"/>
        </w:rPr>
        <w:t>or behaviour</w:t>
      </w:r>
      <w:r w:rsidR="00765424">
        <w:rPr>
          <w:color w:val="000000" w:themeColor="text1"/>
          <w:lang w:eastAsia="en-AU" w:bidi="ar-SA"/>
        </w:rPr>
        <w:t xml:space="preserve">. </w:t>
      </w:r>
      <w:r w:rsidR="00115AB8">
        <w:rPr>
          <w:color w:val="000000" w:themeColor="text1"/>
          <w:lang w:eastAsia="en-AU" w:bidi="ar-SA"/>
        </w:rPr>
        <w:t>Ophthalmological findings were recorded for all rats prestudy and during Week 13, and in recovery cohort rats during Week 17.</w:t>
      </w:r>
      <w:r w:rsidR="003B30F7">
        <w:rPr>
          <w:color w:val="000000" w:themeColor="text1"/>
          <w:lang w:eastAsia="en-AU" w:bidi="ar-SA"/>
        </w:rPr>
        <w:t xml:space="preserve"> Comprehensive neurological screening and functional observational battery were performed on all rats prestudy and during Week 12, and all recovery rats during Week 16. </w:t>
      </w:r>
      <w:r w:rsidR="00F56045">
        <w:rPr>
          <w:color w:val="000000" w:themeColor="text1"/>
          <w:lang w:eastAsia="en-AU" w:bidi="ar-SA"/>
        </w:rPr>
        <w:t xml:space="preserve">Blood samples for haematology, coagulation parameters and serum chemistry were collected from all rats on study Days 14, 42, and 91, and from recovery cohort rats on Day 119.  </w:t>
      </w:r>
      <w:r w:rsidR="00447DE6">
        <w:rPr>
          <w:color w:val="000000" w:themeColor="text1"/>
          <w:lang w:eastAsia="en-AU" w:bidi="ar-SA"/>
        </w:rPr>
        <w:t xml:space="preserve">Urine was collected over a 16 h interval on Days 65 and 85 from all rats, and on Day 115 from recovery cohort rats, and analysed. </w:t>
      </w:r>
      <w:r w:rsidR="002C624E">
        <w:rPr>
          <w:color w:val="000000" w:themeColor="text1"/>
          <w:lang w:eastAsia="en-AU" w:bidi="ar-SA"/>
        </w:rPr>
        <w:t>The main study rats were killed by CO</w:t>
      </w:r>
      <w:r w:rsidR="002C624E">
        <w:rPr>
          <w:color w:val="000000" w:themeColor="text1"/>
          <w:vertAlign w:val="subscript"/>
          <w:lang w:eastAsia="en-AU" w:bidi="ar-SA"/>
        </w:rPr>
        <w:t>2</w:t>
      </w:r>
      <w:r w:rsidR="002C624E">
        <w:rPr>
          <w:color w:val="000000" w:themeColor="text1"/>
          <w:lang w:eastAsia="en-AU" w:bidi="ar-SA"/>
        </w:rPr>
        <w:t xml:space="preserve"> inhalation/exsanguination </w:t>
      </w:r>
      <w:r w:rsidR="000C4A87">
        <w:rPr>
          <w:color w:val="000000" w:themeColor="text1"/>
          <w:lang w:eastAsia="en-AU" w:bidi="ar-SA"/>
        </w:rPr>
        <w:t xml:space="preserve">on Day 91, and the recovery cohort rats were killed on Day 119. Fresh organ weights were recorded for adrenals, brain, epididymides, heart, kidneys, liver, ovaries, spleen, empty stomach, thymus, tested, thyroid/parathyroid, and uterus. A comprehensive list of organs and tissues from all rats were fixed, and those from control rats and rats in the 15 </w:t>
      </w:r>
      <w:r w:rsidR="003A2852">
        <w:rPr>
          <w:color w:val="000000" w:themeColor="text1"/>
          <w:lang w:eastAsia="en-AU" w:bidi="ar-SA"/>
        </w:rPr>
        <w:t>mg/mL</w:t>
      </w:r>
      <w:r w:rsidR="000C4A87">
        <w:rPr>
          <w:color w:val="000000" w:themeColor="text1"/>
          <w:lang w:eastAsia="en-AU" w:bidi="ar-SA"/>
        </w:rPr>
        <w:t xml:space="preserve"> group were processed for routine histopathological examination</w:t>
      </w:r>
      <w:r w:rsidR="007E1B54">
        <w:rPr>
          <w:color w:val="000000" w:themeColor="text1"/>
          <w:lang w:eastAsia="en-AU" w:bidi="ar-SA"/>
        </w:rPr>
        <w:t xml:space="preserve"> of </w:t>
      </w:r>
      <w:r w:rsidR="000F3A8B">
        <w:rPr>
          <w:color w:val="000000" w:themeColor="text1"/>
          <w:lang w:eastAsia="en-AU" w:bidi="ar-SA"/>
        </w:rPr>
        <w:t xml:space="preserve">haematoxylin and eosin (HE) </w:t>
      </w:r>
      <w:r w:rsidR="007E1B54">
        <w:rPr>
          <w:color w:val="000000" w:themeColor="text1"/>
          <w:lang w:eastAsia="en-AU" w:bidi="ar-SA"/>
        </w:rPr>
        <w:t>stained paraffin sections</w:t>
      </w:r>
      <w:r w:rsidR="000C4A87">
        <w:rPr>
          <w:color w:val="000000" w:themeColor="text1"/>
          <w:lang w:eastAsia="en-AU" w:bidi="ar-SA"/>
        </w:rPr>
        <w:t xml:space="preserve">. </w:t>
      </w:r>
      <w:r w:rsidR="007E1B54">
        <w:rPr>
          <w:color w:val="000000" w:themeColor="text1"/>
          <w:lang w:eastAsia="en-AU" w:bidi="ar-SA"/>
        </w:rPr>
        <w:t xml:space="preserve">In addition, frozen sections of heart, liver and kidney were processed from </w:t>
      </w:r>
      <w:r w:rsidR="003D2B26">
        <w:rPr>
          <w:color w:val="000000" w:themeColor="text1"/>
          <w:lang w:eastAsia="en-AU" w:bidi="ar-SA"/>
        </w:rPr>
        <w:t>rats</w:t>
      </w:r>
      <w:r w:rsidR="007E1B54">
        <w:rPr>
          <w:color w:val="000000" w:themeColor="text1"/>
          <w:lang w:eastAsia="en-AU" w:bidi="ar-SA"/>
        </w:rPr>
        <w:t xml:space="preserve"> in the control and 15 </w:t>
      </w:r>
      <w:r w:rsidR="000C145D">
        <w:rPr>
          <w:color w:val="000000" w:themeColor="text1"/>
          <w:lang w:eastAsia="en-AU" w:bidi="ar-SA"/>
        </w:rPr>
        <w:t>mg/mL</w:t>
      </w:r>
      <w:r w:rsidR="007E1B54">
        <w:rPr>
          <w:color w:val="000000" w:themeColor="text1"/>
          <w:lang w:eastAsia="en-AU" w:bidi="ar-SA"/>
        </w:rPr>
        <w:t xml:space="preserve"> groups and stained with Oil Red O, and paraffin sections of testis and epididymis of males in the control and 15 </w:t>
      </w:r>
      <w:r w:rsidR="000C145D">
        <w:rPr>
          <w:color w:val="000000" w:themeColor="text1"/>
          <w:lang w:eastAsia="en-AU" w:bidi="ar-SA"/>
        </w:rPr>
        <w:t>mg/mL</w:t>
      </w:r>
      <w:r w:rsidR="007E1B54">
        <w:rPr>
          <w:color w:val="000000" w:themeColor="text1"/>
          <w:lang w:eastAsia="en-AU" w:bidi="ar-SA"/>
        </w:rPr>
        <w:t xml:space="preserve"> groups were stained with</w:t>
      </w:r>
      <w:r w:rsidR="000F3A8B">
        <w:rPr>
          <w:color w:val="000000" w:themeColor="text1"/>
          <w:lang w:eastAsia="en-AU" w:bidi="ar-SA"/>
        </w:rPr>
        <w:t xml:space="preserve"> per</w:t>
      </w:r>
      <w:r w:rsidR="000C5801">
        <w:rPr>
          <w:color w:val="000000" w:themeColor="text1"/>
          <w:lang w:eastAsia="en-AU" w:bidi="ar-SA"/>
        </w:rPr>
        <w:t>i</w:t>
      </w:r>
      <w:r w:rsidR="000F3A8B">
        <w:rPr>
          <w:color w:val="000000" w:themeColor="text1"/>
          <w:lang w:eastAsia="en-AU" w:bidi="ar-SA"/>
        </w:rPr>
        <w:t>odic acid-Schiff (</w:t>
      </w:r>
      <w:r w:rsidR="007E1B54">
        <w:rPr>
          <w:color w:val="000000" w:themeColor="text1"/>
          <w:lang w:eastAsia="en-AU" w:bidi="ar-SA"/>
        </w:rPr>
        <w:t>PAS</w:t>
      </w:r>
      <w:r w:rsidR="000F3A8B">
        <w:rPr>
          <w:color w:val="000000" w:themeColor="text1"/>
          <w:lang w:eastAsia="en-AU" w:bidi="ar-SA"/>
        </w:rPr>
        <w:t>)</w:t>
      </w:r>
      <w:r w:rsidR="007E1B54">
        <w:rPr>
          <w:color w:val="000000" w:themeColor="text1"/>
          <w:lang w:eastAsia="en-AU" w:bidi="ar-SA"/>
        </w:rPr>
        <w:t xml:space="preserve">. Read-down processing and examination of stomach tissue of the rats </w:t>
      </w:r>
      <w:r w:rsidR="000C145D">
        <w:rPr>
          <w:color w:val="000000" w:themeColor="text1"/>
          <w:lang w:eastAsia="en-AU" w:bidi="ar-SA"/>
        </w:rPr>
        <w:t xml:space="preserve">in other groups </w:t>
      </w:r>
      <w:r w:rsidR="007E1B54">
        <w:rPr>
          <w:color w:val="000000" w:themeColor="text1"/>
          <w:lang w:eastAsia="en-AU" w:bidi="ar-SA"/>
        </w:rPr>
        <w:t xml:space="preserve">was performed on the basis of findings in the 15 </w:t>
      </w:r>
      <w:r w:rsidR="000C145D">
        <w:rPr>
          <w:color w:val="000000" w:themeColor="text1"/>
          <w:lang w:eastAsia="en-AU" w:bidi="ar-SA"/>
        </w:rPr>
        <w:t>mg/mL</w:t>
      </w:r>
      <w:r w:rsidR="007E1B54">
        <w:rPr>
          <w:color w:val="000000" w:themeColor="text1"/>
          <w:lang w:eastAsia="en-AU" w:bidi="ar-SA"/>
        </w:rPr>
        <w:t xml:space="preserve"> rats.</w:t>
      </w:r>
    </w:p>
    <w:p w14:paraId="6B04545A" w14:textId="77777777" w:rsidR="00FF4BC6" w:rsidRDefault="00FF4BC6" w:rsidP="00FF4BC6">
      <w:pPr>
        <w:rPr>
          <w:color w:val="000000" w:themeColor="text1"/>
          <w:lang w:eastAsia="en-AU" w:bidi="ar-SA"/>
        </w:rPr>
      </w:pPr>
    </w:p>
    <w:p w14:paraId="7CC1649C" w14:textId="749664D5" w:rsidR="00CE2318" w:rsidRDefault="00CE2318" w:rsidP="00FF4BC6">
      <w:pPr>
        <w:rPr>
          <w:lang w:eastAsia="en-AU" w:bidi="ar-SA"/>
        </w:rPr>
      </w:pPr>
      <w:r>
        <w:rPr>
          <w:lang w:eastAsia="en-AU" w:bidi="ar-SA"/>
        </w:rPr>
        <w:t xml:space="preserve">Dose analysis showed that the dose formulations were stable and homogenous </w:t>
      </w:r>
      <w:r w:rsidR="003A2852">
        <w:rPr>
          <w:lang w:eastAsia="en-AU" w:bidi="ar-SA"/>
        </w:rPr>
        <w:t xml:space="preserve">under the storage conditions used, and were generally within the accepted range of </w:t>
      </w:r>
      <w:r w:rsidR="003A2852">
        <w:rPr>
          <w:rFonts w:cs="Arial"/>
          <w:lang w:eastAsia="en-AU" w:bidi="ar-SA"/>
        </w:rPr>
        <w:t>±</w:t>
      </w:r>
      <w:r w:rsidR="003A2852">
        <w:rPr>
          <w:lang w:eastAsia="en-AU" w:bidi="ar-SA"/>
        </w:rPr>
        <w:t xml:space="preserve">15% of intended concentration, although the low dose formulation (1.5 mg/mL) was 17% below target concentration on Day 1. Mean test article concentrations for treatment groups were 0.14%, 0.46% and 1.35% AM-1, compared to intended concentrations of 0.15%, 0.5% and 1.5%. </w:t>
      </w:r>
    </w:p>
    <w:p w14:paraId="7DB82863" w14:textId="5DA74C48" w:rsidR="00CB1053" w:rsidRDefault="000C145D" w:rsidP="00FF4BC6">
      <w:pPr>
        <w:rPr>
          <w:lang w:eastAsia="en-AU" w:bidi="ar-SA"/>
        </w:rPr>
      </w:pPr>
      <w:r>
        <w:rPr>
          <w:lang w:eastAsia="en-AU" w:bidi="ar-SA"/>
        </w:rPr>
        <w:t xml:space="preserve">There were no unscheduled deaths or abnormal clinical signs attributable to the test article. One female rat in the 15 mg/mL group died following blood withdrawal on Day 14, but this was attributed to the stress associated with the procedure. Transient episodes of piloerection </w:t>
      </w:r>
      <w:r w:rsidR="00CE2318">
        <w:rPr>
          <w:lang w:eastAsia="en-AU" w:bidi="ar-SA"/>
        </w:rPr>
        <w:t>in rats in the 15 mg/mL</w:t>
      </w:r>
      <w:r>
        <w:rPr>
          <w:lang w:eastAsia="en-AU" w:bidi="ar-SA"/>
        </w:rPr>
        <w:t xml:space="preserve"> group were similarly associated with, and attributed </w:t>
      </w:r>
      <w:r w:rsidR="00BB47AD">
        <w:rPr>
          <w:lang w:eastAsia="en-AU" w:bidi="ar-SA"/>
        </w:rPr>
        <w:t xml:space="preserve">by the study director </w:t>
      </w:r>
      <w:r>
        <w:rPr>
          <w:lang w:eastAsia="en-AU" w:bidi="ar-SA"/>
        </w:rPr>
        <w:t>to, test procedures. There were no test article-related effects on neurological findings</w:t>
      </w:r>
      <w:r w:rsidR="00CE2318">
        <w:rPr>
          <w:lang w:eastAsia="en-AU" w:bidi="ar-SA"/>
        </w:rPr>
        <w:t xml:space="preserve">, ophthalmological findings, clinical pathology parameters, gross necropsy findings, or organ weights. </w:t>
      </w:r>
      <w:r w:rsidR="00620E89">
        <w:rPr>
          <w:lang w:eastAsia="en-AU" w:bidi="ar-SA"/>
        </w:rPr>
        <w:t xml:space="preserve">Males in the 15 mg/mL group exhibited a statistically significant decrease in group mean body weight of 5-7%, relative to that of control males, over Weeks 1 to 6. Over the interval Day 1-Day 90, group mean body weight gain of the 15 mg/mL males was 5.6% lower than that of male controls. These decreases in group mean body weight and body weight gain correspond to, and were attributed to, decreases in food consumption and water consumption by the 15 mg/mL males in the first two weeks of the study. Group mean body weight of males killed on </w:t>
      </w:r>
      <w:r w:rsidR="0052452D">
        <w:rPr>
          <w:lang w:eastAsia="en-AU" w:bidi="ar-SA"/>
        </w:rPr>
        <w:t xml:space="preserve">Day 91 was 2.1% lower than that of male controls. There was no statistically significant difference between 15 mg/mL males and control males in the recovery cohorts. There were no corresponding effects on body weight, body weight gain, food consumption or water consumption at lower doses, and slight transient decreases in group mean body weight and body weight gain in the 15 mg/mL females, relative to female controls, did not reach statistical significance. </w:t>
      </w:r>
      <w:r w:rsidR="000156C2">
        <w:rPr>
          <w:lang w:eastAsia="en-AU" w:bidi="ar-SA"/>
        </w:rPr>
        <w:t xml:space="preserve">Minimal to mild focal hyperplasia of the squamous epithelium of the forestomach, with minimal hyperkeratosis, was observed in rats of both sexes in the 15 mg/mL and control groups and, on read-down, also in the 1.5 and 5 mg/mL groups. This finding showed no dose-response relationship. </w:t>
      </w:r>
    </w:p>
    <w:p w14:paraId="2D4D6B99" w14:textId="77777777" w:rsidR="00FF4BC6" w:rsidRDefault="00FF4BC6" w:rsidP="00FF4BC6">
      <w:pPr>
        <w:rPr>
          <w:lang w:eastAsia="en-AU" w:bidi="ar-SA"/>
        </w:rPr>
      </w:pPr>
    </w:p>
    <w:p w14:paraId="724F9090" w14:textId="23F2D47B" w:rsidR="000156C2" w:rsidRDefault="000156C2" w:rsidP="00FF4BC6">
      <w:pPr>
        <w:rPr>
          <w:lang w:eastAsia="en-AU" w:bidi="ar-SA"/>
        </w:rPr>
      </w:pPr>
      <w:r>
        <w:rPr>
          <w:lang w:eastAsia="en-AU" w:bidi="ar-SA"/>
        </w:rPr>
        <w:t xml:space="preserve">The </w:t>
      </w:r>
      <w:r w:rsidR="00822D1A">
        <w:rPr>
          <w:lang w:eastAsia="en-AU" w:bidi="ar-SA"/>
        </w:rPr>
        <w:t xml:space="preserve">authors suggested that the </w:t>
      </w:r>
      <w:r>
        <w:rPr>
          <w:lang w:eastAsia="en-AU" w:bidi="ar-SA"/>
        </w:rPr>
        <w:t xml:space="preserve">transient, non-adverse effect of AM-1 in the drinking water on group mean values for water intake, food consumption, body weight and body weight gain in male rats at the highest dose (15 mg/mL) </w:t>
      </w:r>
      <w:r w:rsidR="00822D1A">
        <w:rPr>
          <w:lang w:eastAsia="en-AU" w:bidi="ar-SA"/>
        </w:rPr>
        <w:t xml:space="preserve">could be a reflection of increased viscosity, surfactant qualities or decreased palatability of the drinking water at the high dose. </w:t>
      </w:r>
      <w:r w:rsidR="00FB61AA">
        <w:rPr>
          <w:lang w:eastAsia="en-AU" w:bidi="ar-SA"/>
        </w:rPr>
        <w:t xml:space="preserve">The authors cited a number of other studies in which decreased </w:t>
      </w:r>
      <w:r w:rsidR="00F7658C">
        <w:rPr>
          <w:lang w:eastAsia="en-AU" w:bidi="ar-SA"/>
        </w:rPr>
        <w:t>water intake led to decreased food intake, body weight and body weight gain in rats, including one study in which male rats were more sensitive to this effect than females. The effec</w:t>
      </w:r>
      <w:r w:rsidR="00A7065E">
        <w:rPr>
          <w:lang w:eastAsia="en-AU" w:bidi="ar-SA"/>
        </w:rPr>
        <w:t>t was transient, reversible and considered to be secondary, rather than a direct adverse effect of the test article. The</w:t>
      </w:r>
      <w:r w:rsidR="00A7065E" w:rsidDel="00072695">
        <w:rPr>
          <w:lang w:eastAsia="en-AU" w:bidi="ar-SA"/>
        </w:rPr>
        <w:t xml:space="preserve"> </w:t>
      </w:r>
      <w:r w:rsidR="00A7065E">
        <w:rPr>
          <w:lang w:eastAsia="en-AU" w:bidi="ar-SA"/>
        </w:rPr>
        <w:t>NOAEL of the test article in male and female Sprague Dawley rats is 15 mg/mL in drinking water, equivalent to 1201 and 1423 mg/kg bw/day in male and female rats respectively.</w:t>
      </w:r>
    </w:p>
    <w:p w14:paraId="4A12AFCD" w14:textId="77777777" w:rsidR="00FF4BC6" w:rsidRDefault="00FF4BC6" w:rsidP="00FF4BC6">
      <w:pPr>
        <w:rPr>
          <w:lang w:eastAsia="en-AU" w:bidi="ar-SA"/>
        </w:rPr>
      </w:pPr>
    </w:p>
    <w:p w14:paraId="74B8CE53" w14:textId="2FDE552A" w:rsidR="00F45522" w:rsidRDefault="00F45522" w:rsidP="00FF4BC6">
      <w:pPr>
        <w:rPr>
          <w:i/>
          <w:lang w:eastAsia="en-AU" w:bidi="ar-SA"/>
        </w:rPr>
      </w:pPr>
      <w:r w:rsidRPr="00FF4BC6">
        <w:rPr>
          <w:i/>
          <w:lang w:eastAsia="en-AU" w:bidi="ar-SA"/>
        </w:rPr>
        <w:t xml:space="preserve">Ninety-day repeat-dose oral capsule toxicity study of glycolipids from </w:t>
      </w:r>
      <w:r w:rsidRPr="00FF4BC6">
        <w:rPr>
          <w:lang w:eastAsia="en-AU" w:bidi="ar-SA"/>
        </w:rPr>
        <w:t>Dacr</w:t>
      </w:r>
      <w:r w:rsidR="001E5330">
        <w:rPr>
          <w:lang w:eastAsia="en-AU" w:bidi="ar-SA"/>
        </w:rPr>
        <w:t>y</w:t>
      </w:r>
      <w:r w:rsidRPr="00FF4BC6">
        <w:rPr>
          <w:lang w:eastAsia="en-AU" w:bidi="ar-SA"/>
        </w:rPr>
        <w:t>opinax spathularia</w:t>
      </w:r>
      <w:r w:rsidRPr="00FF4BC6">
        <w:rPr>
          <w:i/>
          <w:lang w:eastAsia="en-AU" w:bidi="ar-SA"/>
        </w:rPr>
        <w:t xml:space="preserve"> in Beagle dogs ([</w:t>
      </w:r>
      <w:r w:rsidR="004A609B" w:rsidRPr="00FF4BC6">
        <w:rPr>
          <w:i/>
          <w:lang w:eastAsia="en-AU" w:bidi="ar-SA"/>
        </w:rPr>
        <w:t xml:space="preserve">Charles River </w:t>
      </w:r>
      <w:r w:rsidR="006833B4" w:rsidRPr="00FF4BC6">
        <w:rPr>
          <w:i/>
          <w:lang w:eastAsia="en-AU" w:bidi="ar-SA"/>
        </w:rPr>
        <w:t>Laboratories 2017</w:t>
      </w:r>
      <w:r w:rsidRPr="00FF4BC6">
        <w:rPr>
          <w:i/>
          <w:lang w:eastAsia="en-AU" w:bidi="ar-SA"/>
        </w:rPr>
        <w:t xml:space="preserve">]; </w:t>
      </w:r>
      <w:r w:rsidRPr="00CC6208">
        <w:rPr>
          <w:i/>
          <w:lang w:eastAsia="en-AU" w:bidi="ar-SA"/>
        </w:rPr>
        <w:t>Bitzer et al 2017c</w:t>
      </w:r>
      <w:r w:rsidRPr="00FF4BC6">
        <w:rPr>
          <w:i/>
          <w:lang w:eastAsia="en-AU" w:bidi="ar-SA"/>
        </w:rPr>
        <w:t xml:space="preserve">) Regulatory status: GLP; conducted following </w:t>
      </w:r>
      <w:r w:rsidRPr="00EE14C6">
        <w:rPr>
          <w:i/>
          <w:lang w:eastAsia="en-AU" w:bidi="ar-SA"/>
        </w:rPr>
        <w:t>OECD Guideline</w:t>
      </w:r>
      <w:r w:rsidR="00EE14C6" w:rsidRPr="00EE14C6">
        <w:rPr>
          <w:i/>
          <w:lang w:eastAsia="en-AU" w:bidi="ar-SA"/>
        </w:rPr>
        <w:t xml:space="preserve"> 409 and US FDA Redbook 2000 IV.C.4.b</w:t>
      </w:r>
    </w:p>
    <w:p w14:paraId="4961081C" w14:textId="77777777" w:rsidR="00FF4BC6" w:rsidRPr="00FF4BC6" w:rsidRDefault="00FF4BC6" w:rsidP="00FF4BC6">
      <w:pPr>
        <w:rPr>
          <w:i/>
          <w:lang w:eastAsia="en-AU" w:bidi="ar-SA"/>
        </w:rPr>
      </w:pPr>
    </w:p>
    <w:p w14:paraId="43D11620" w14:textId="21627E08" w:rsidR="00F45522" w:rsidRDefault="003D1377" w:rsidP="00FF4BC6">
      <w:pPr>
        <w:rPr>
          <w:bCs/>
          <w:color w:val="000000" w:themeColor="text1"/>
          <w:lang w:eastAsia="en-AU" w:bidi="ar-SA"/>
        </w:rPr>
      </w:pPr>
      <w:r>
        <w:t>T</w:t>
      </w:r>
      <w:r w:rsidR="00F45522" w:rsidRPr="00FF4BC6">
        <w:t xml:space="preserve">he test article for this study was a mixture of glycolipids from </w:t>
      </w:r>
      <w:r w:rsidR="00F45522" w:rsidRPr="00FF4BC6">
        <w:rPr>
          <w:i/>
        </w:rPr>
        <w:t>Dacryopinax spathularia</w:t>
      </w:r>
      <w:r w:rsidR="00F45522" w:rsidRPr="00FF4BC6">
        <w:t xml:space="preserve"> referred t</w:t>
      </w:r>
      <w:r w:rsidR="00DB6DF3">
        <w:t>o</w:t>
      </w:r>
      <w:r w:rsidR="00F45522" w:rsidRPr="00FF4BC6">
        <w:t xml:space="preserve"> as “AM-1” complying with established specifications for identity, composition, impurities and contaminants. The purity of the test article for this study was 95%, with the balance comprising water, protein and lipids. The test article was administered in gelatin capsules, and analysis of homogeneity, stability and concentration were not conducted because the test article was administered in neat form</w:t>
      </w:r>
      <w:r w:rsidR="00F45522">
        <w:rPr>
          <w:bCs/>
          <w:color w:val="000000" w:themeColor="text1"/>
          <w:lang w:eastAsia="en-AU" w:bidi="ar-SA"/>
        </w:rPr>
        <w:t xml:space="preserve">. </w:t>
      </w:r>
    </w:p>
    <w:p w14:paraId="1F82C3B9" w14:textId="152E73C1" w:rsidR="00F45522" w:rsidRDefault="00F45522" w:rsidP="00FF4BC6">
      <w:pPr>
        <w:rPr>
          <w:bCs/>
          <w:color w:val="000000" w:themeColor="text1"/>
          <w:lang w:eastAsia="en-AU" w:bidi="ar-SA"/>
        </w:rPr>
      </w:pPr>
      <w:r>
        <w:rPr>
          <w:bCs/>
          <w:color w:val="000000" w:themeColor="text1"/>
          <w:lang w:eastAsia="en-AU" w:bidi="ar-SA"/>
        </w:rPr>
        <w:t xml:space="preserve">The test system comprised male and female Beagle dogs, approximately 4 to 5 months of age at acquisition. </w:t>
      </w:r>
      <w:r w:rsidR="00E030C4">
        <w:rPr>
          <w:bCs/>
          <w:color w:val="000000" w:themeColor="text1"/>
          <w:lang w:eastAsia="en-AU" w:bidi="ar-SA"/>
        </w:rPr>
        <w:t xml:space="preserve">Dogs were acclimatized to laboratory conditions for 14 days prior to study start. They were group-housed under standard laboratory environmental conditions, except during feeding when they were housed individually. Drinking water was supplied </w:t>
      </w:r>
      <w:r w:rsidR="00E030C4" w:rsidRPr="00E030C4">
        <w:rPr>
          <w:bCs/>
          <w:i/>
          <w:color w:val="000000" w:themeColor="text1"/>
          <w:lang w:eastAsia="en-AU" w:bidi="ar-SA"/>
        </w:rPr>
        <w:t>ad libitum</w:t>
      </w:r>
      <w:r w:rsidR="00E030C4">
        <w:rPr>
          <w:bCs/>
          <w:color w:val="000000" w:themeColor="text1"/>
          <w:lang w:eastAsia="en-AU" w:bidi="ar-SA"/>
        </w:rPr>
        <w:t xml:space="preserve">. Dogs were assigned to groups, 4/sex/group, with dose levels of 0, 150, 500 or 1000 mg/kg bw/day AM-1. Capsules administered to the control group </w:t>
      </w:r>
      <w:r w:rsidR="00D91DC0">
        <w:rPr>
          <w:bCs/>
          <w:color w:val="000000" w:themeColor="text1"/>
          <w:lang w:eastAsia="en-AU" w:bidi="ar-SA"/>
        </w:rPr>
        <w:t>were empty</w:t>
      </w:r>
      <w:r w:rsidR="00E030C4">
        <w:rPr>
          <w:bCs/>
          <w:color w:val="000000" w:themeColor="text1"/>
          <w:lang w:eastAsia="en-AU" w:bidi="ar-SA"/>
        </w:rPr>
        <w:t>. Dogs in the control and 1000 mg/kg bw/day groups received 7 to 8 capsules/day, those in the 500 mg/kg bw/day group received 4 capsules</w:t>
      </w:r>
      <w:r w:rsidR="00DD2460">
        <w:rPr>
          <w:bCs/>
          <w:color w:val="000000" w:themeColor="text1"/>
          <w:lang w:eastAsia="en-AU" w:bidi="ar-SA"/>
        </w:rPr>
        <w:t>/day</w:t>
      </w:r>
      <w:r w:rsidR="00E030C4">
        <w:rPr>
          <w:bCs/>
          <w:color w:val="000000" w:themeColor="text1"/>
          <w:lang w:eastAsia="en-AU" w:bidi="ar-SA"/>
        </w:rPr>
        <w:t>, and those in the 150 mg/kg bw/day group</w:t>
      </w:r>
      <w:r w:rsidR="00DD2460">
        <w:rPr>
          <w:bCs/>
          <w:color w:val="000000" w:themeColor="text1"/>
          <w:lang w:eastAsia="en-AU" w:bidi="ar-SA"/>
        </w:rPr>
        <w:t xml:space="preserve"> received 1 or 2 capsules/day. </w:t>
      </w:r>
    </w:p>
    <w:p w14:paraId="5D479EE2" w14:textId="77777777" w:rsidR="00FF4BC6" w:rsidRDefault="00FF4BC6" w:rsidP="00FF4BC6">
      <w:pPr>
        <w:rPr>
          <w:bCs/>
          <w:color w:val="000000" w:themeColor="text1"/>
          <w:lang w:eastAsia="en-AU" w:bidi="ar-SA"/>
        </w:rPr>
      </w:pPr>
    </w:p>
    <w:p w14:paraId="3D367D36" w14:textId="7F0731C4" w:rsidR="00756031" w:rsidRDefault="00756031" w:rsidP="00FF4BC6">
      <w:pPr>
        <w:rPr>
          <w:bCs/>
          <w:color w:val="000000" w:themeColor="text1"/>
          <w:lang w:eastAsia="en-AU" w:bidi="ar-SA"/>
        </w:rPr>
      </w:pPr>
      <w:r>
        <w:rPr>
          <w:bCs/>
          <w:color w:val="000000" w:themeColor="text1"/>
          <w:lang w:eastAsia="en-AU" w:bidi="ar-SA"/>
        </w:rPr>
        <w:t xml:space="preserve">Cageside mortality/moribundity checks were made twice daily, and cageside clinical observations were made daily. Detailed clinical examinations, including measurement of body weight, were performed prestudy, once weekly during the study, and prior to scheduled euthanasia. Individual food consumption was recorded daily, commencing prestudy and continuing throughout the in-life phase. Ophthalmological and detailed neurological assessments were performed prestudy and near the end of the in-life phase. </w:t>
      </w:r>
      <w:r w:rsidR="002E71A2">
        <w:rPr>
          <w:bCs/>
          <w:color w:val="000000" w:themeColor="text1"/>
          <w:lang w:eastAsia="en-AU" w:bidi="ar-SA"/>
        </w:rPr>
        <w:t>Blood</w:t>
      </w:r>
      <w:r>
        <w:rPr>
          <w:bCs/>
          <w:color w:val="000000" w:themeColor="text1"/>
          <w:lang w:eastAsia="en-AU" w:bidi="ar-SA"/>
        </w:rPr>
        <w:t xml:space="preserve"> samples for </w:t>
      </w:r>
      <w:r w:rsidR="00D85107">
        <w:rPr>
          <w:bCs/>
          <w:color w:val="000000" w:themeColor="text1"/>
          <w:lang w:eastAsia="en-AU" w:bidi="ar-SA"/>
        </w:rPr>
        <w:t>haematology</w:t>
      </w:r>
      <w:r>
        <w:rPr>
          <w:bCs/>
          <w:color w:val="000000" w:themeColor="text1"/>
          <w:lang w:eastAsia="en-AU" w:bidi="ar-SA"/>
        </w:rPr>
        <w:t xml:space="preserve">, serum chemistry and coagulation parameters were collected from each dog prestudy, in each of Weeks 2 and 6, and prior to scheduled euthanasia. Urine samples were collected according to the same schedule. At the end of the in-life phase, dogs were sedated with acetylpromazine and killed by intravenous injection of sodium pentobarbital. During detailed gross necropsy, fresh organ weights were recorded for adrenals, brain, epididymides, heart, kidneys, liver, ovaries, pituitary, prostate, testes, spleen, thymus, thyroid with parathyroids, and uterus with cervix, as sex-relevant. A comprehensive list of organs and tissues was collected, preserved, and processed for routine light microscopy using HE stain. </w:t>
      </w:r>
    </w:p>
    <w:p w14:paraId="44B9805C" w14:textId="77777777" w:rsidR="00FF4BC6" w:rsidRDefault="00FF4BC6" w:rsidP="00FF4BC6">
      <w:pPr>
        <w:rPr>
          <w:bCs/>
          <w:color w:val="000000" w:themeColor="text1"/>
          <w:lang w:eastAsia="en-AU" w:bidi="ar-SA"/>
        </w:rPr>
      </w:pPr>
    </w:p>
    <w:p w14:paraId="71AF05A5" w14:textId="40E09C93" w:rsidR="00756031" w:rsidRDefault="00756031" w:rsidP="00FF4BC6">
      <w:pPr>
        <w:rPr>
          <w:b/>
          <w:bCs/>
          <w:color w:val="000000" w:themeColor="text1"/>
          <w:lang w:eastAsia="en-AU" w:bidi="ar-SA"/>
        </w:rPr>
      </w:pPr>
      <w:r>
        <w:rPr>
          <w:bCs/>
          <w:color w:val="000000" w:themeColor="text1"/>
          <w:lang w:eastAsia="en-AU" w:bidi="ar-SA"/>
        </w:rPr>
        <w:t>All dogs survived to s</w:t>
      </w:r>
      <w:r w:rsidR="00812695">
        <w:rPr>
          <w:bCs/>
          <w:color w:val="000000" w:themeColor="text1"/>
          <w:lang w:eastAsia="en-AU" w:bidi="ar-SA"/>
        </w:rPr>
        <w:t xml:space="preserve">tudy termination </w:t>
      </w:r>
      <w:r>
        <w:rPr>
          <w:bCs/>
          <w:color w:val="000000" w:themeColor="text1"/>
          <w:lang w:eastAsia="en-AU" w:bidi="ar-SA"/>
        </w:rPr>
        <w:t>and there were no test article-related clinical observations</w:t>
      </w:r>
      <w:r w:rsidR="00514742">
        <w:rPr>
          <w:bCs/>
          <w:color w:val="000000" w:themeColor="text1"/>
          <w:lang w:eastAsia="en-AU" w:bidi="ar-SA"/>
        </w:rPr>
        <w:t xml:space="preserve">, findings on neurological examinations, ophthalmological examinations, effects on clinical pathology parameters, gross necropsy findings, organ weights, or histopathological findings. Group mean body weight gain of the 1000 mg/kg bw/day females was </w:t>
      </w:r>
      <w:r w:rsidR="000712E0">
        <w:rPr>
          <w:bCs/>
          <w:color w:val="000000" w:themeColor="text1"/>
          <w:lang w:eastAsia="en-AU" w:bidi="ar-SA"/>
        </w:rPr>
        <w:t xml:space="preserve">significantly lower </w:t>
      </w:r>
      <w:r w:rsidR="003C73E0">
        <w:rPr>
          <w:bCs/>
          <w:color w:val="000000" w:themeColor="text1"/>
          <w:lang w:eastAsia="en-AU" w:bidi="ar-SA"/>
        </w:rPr>
        <w:t xml:space="preserve">(p </w:t>
      </w:r>
      <w:r w:rsidR="003C73E0">
        <w:rPr>
          <w:rFonts w:cs="Arial"/>
          <w:bCs/>
          <w:color w:val="000000" w:themeColor="text1"/>
          <w:lang w:eastAsia="en-AU" w:bidi="ar-SA"/>
        </w:rPr>
        <w:t>≤</w:t>
      </w:r>
      <w:r w:rsidR="003C73E0">
        <w:rPr>
          <w:bCs/>
          <w:color w:val="000000" w:themeColor="text1"/>
          <w:lang w:eastAsia="en-AU" w:bidi="ar-SA"/>
        </w:rPr>
        <w:t xml:space="preserve"> 0.05) </w:t>
      </w:r>
      <w:r w:rsidR="000712E0">
        <w:rPr>
          <w:bCs/>
          <w:color w:val="000000" w:themeColor="text1"/>
          <w:lang w:eastAsia="en-AU" w:bidi="ar-SA"/>
        </w:rPr>
        <w:t xml:space="preserve">than that of female controls </w:t>
      </w:r>
      <w:r w:rsidR="00204782">
        <w:rPr>
          <w:bCs/>
          <w:color w:val="000000" w:themeColor="text1"/>
          <w:lang w:eastAsia="en-AU" w:bidi="ar-SA"/>
        </w:rPr>
        <w:t xml:space="preserve">only in the first week of the study, but was consistently slightly lower than that of control females on a weekly basis, </w:t>
      </w:r>
      <w:r w:rsidR="00DB6DF3">
        <w:rPr>
          <w:bCs/>
          <w:color w:val="000000" w:themeColor="text1"/>
          <w:lang w:eastAsia="en-AU" w:bidi="ar-SA"/>
        </w:rPr>
        <w:t xml:space="preserve">without reaching statistical significance, </w:t>
      </w:r>
      <w:r w:rsidR="00204782">
        <w:rPr>
          <w:bCs/>
          <w:color w:val="000000" w:themeColor="text1"/>
          <w:lang w:eastAsia="en-AU" w:bidi="ar-SA"/>
        </w:rPr>
        <w:t>and g</w:t>
      </w:r>
      <w:r w:rsidR="000712E0">
        <w:rPr>
          <w:bCs/>
          <w:color w:val="000000" w:themeColor="text1"/>
          <w:lang w:eastAsia="en-AU" w:bidi="ar-SA"/>
        </w:rPr>
        <w:t xml:space="preserve">roup mean cumulative bodyweight gain of this group over the entire study was </w:t>
      </w:r>
      <w:r w:rsidR="00D34CFC">
        <w:rPr>
          <w:bCs/>
          <w:color w:val="000000" w:themeColor="text1"/>
          <w:lang w:eastAsia="en-AU" w:bidi="ar-SA"/>
        </w:rPr>
        <w:t xml:space="preserve">1.7 kg, </w:t>
      </w:r>
      <w:r w:rsidR="000712E0">
        <w:rPr>
          <w:bCs/>
          <w:color w:val="000000" w:themeColor="text1"/>
          <w:lang w:eastAsia="en-AU" w:bidi="ar-SA"/>
        </w:rPr>
        <w:t xml:space="preserve">significantly lower </w:t>
      </w:r>
      <w:r w:rsidR="0049078C" w:rsidRPr="0049078C">
        <w:rPr>
          <w:bCs/>
          <w:color w:val="000000" w:themeColor="text1"/>
          <w:lang w:eastAsia="en-AU" w:bidi="ar-SA"/>
        </w:rPr>
        <w:t>(p ≤ 0.05)</w:t>
      </w:r>
      <w:r w:rsidR="000712E0">
        <w:rPr>
          <w:bCs/>
          <w:color w:val="000000" w:themeColor="text1"/>
          <w:lang w:eastAsia="en-AU" w:bidi="ar-SA"/>
        </w:rPr>
        <w:t xml:space="preserve"> </w:t>
      </w:r>
      <w:r w:rsidR="00514742">
        <w:rPr>
          <w:bCs/>
          <w:color w:val="000000" w:themeColor="text1"/>
          <w:lang w:eastAsia="en-AU" w:bidi="ar-SA"/>
        </w:rPr>
        <w:t xml:space="preserve">than </w:t>
      </w:r>
      <w:r w:rsidR="00D34CFC">
        <w:rPr>
          <w:bCs/>
          <w:color w:val="000000" w:themeColor="text1"/>
          <w:lang w:eastAsia="en-AU" w:bidi="ar-SA"/>
        </w:rPr>
        <w:t>the 2.4 kg group mean bodyweight increase in</w:t>
      </w:r>
      <w:r w:rsidR="00514742">
        <w:rPr>
          <w:bCs/>
          <w:color w:val="000000" w:themeColor="text1"/>
          <w:lang w:eastAsia="en-AU" w:bidi="ar-SA"/>
        </w:rPr>
        <w:t xml:space="preserve"> control females</w:t>
      </w:r>
      <w:r w:rsidR="000712E0">
        <w:rPr>
          <w:bCs/>
          <w:color w:val="000000" w:themeColor="text1"/>
          <w:lang w:eastAsia="en-AU" w:bidi="ar-SA"/>
        </w:rPr>
        <w:t xml:space="preserve">. The reduction in cumulative bodyweight gain was </w:t>
      </w:r>
      <w:r w:rsidR="00514742">
        <w:rPr>
          <w:bCs/>
          <w:color w:val="000000" w:themeColor="text1"/>
          <w:lang w:eastAsia="en-AU" w:bidi="ar-SA"/>
        </w:rPr>
        <w:t>in association with a non-significant reduction in group mean food consumption</w:t>
      </w:r>
      <w:r w:rsidR="003808D6">
        <w:rPr>
          <w:bCs/>
          <w:color w:val="000000" w:themeColor="text1"/>
          <w:lang w:eastAsia="en-AU" w:bidi="ar-SA"/>
        </w:rPr>
        <w:t xml:space="preserve">, </w:t>
      </w:r>
      <w:r w:rsidR="00514742">
        <w:rPr>
          <w:bCs/>
          <w:color w:val="000000" w:themeColor="text1"/>
          <w:lang w:eastAsia="en-AU" w:bidi="ar-SA"/>
        </w:rPr>
        <w:t xml:space="preserve">relative to </w:t>
      </w:r>
      <w:r w:rsidR="003808D6">
        <w:rPr>
          <w:bCs/>
          <w:color w:val="000000" w:themeColor="text1"/>
          <w:lang w:eastAsia="en-AU" w:bidi="ar-SA"/>
        </w:rPr>
        <w:t>group mean values for</w:t>
      </w:r>
      <w:r w:rsidR="00514742">
        <w:rPr>
          <w:bCs/>
          <w:color w:val="000000" w:themeColor="text1"/>
          <w:lang w:eastAsia="en-AU" w:bidi="ar-SA"/>
        </w:rPr>
        <w:t xml:space="preserve"> control females, in most weeks of the in-life phase. </w:t>
      </w:r>
      <w:r w:rsidR="00D27F50">
        <w:rPr>
          <w:bCs/>
          <w:color w:val="000000" w:themeColor="text1"/>
          <w:lang w:eastAsia="en-AU" w:bidi="ar-SA"/>
        </w:rPr>
        <w:t xml:space="preserve">Examination of individual data supports the conclusion that this effect was not due to an individual outlier. </w:t>
      </w:r>
      <w:r w:rsidR="00204782">
        <w:rPr>
          <w:bCs/>
          <w:color w:val="000000" w:themeColor="text1"/>
          <w:lang w:eastAsia="en-AU" w:bidi="ar-SA"/>
        </w:rPr>
        <w:t xml:space="preserve">The group mean bodyweight of the 1000 mg/kg bw/day females at the end of the study was 8.0 kg, </w:t>
      </w:r>
      <w:r w:rsidR="00594FF7">
        <w:rPr>
          <w:bCs/>
          <w:color w:val="000000" w:themeColor="text1"/>
          <w:lang w:eastAsia="en-AU" w:bidi="ar-SA"/>
        </w:rPr>
        <w:t xml:space="preserve">approximately 6% lower than </w:t>
      </w:r>
      <w:r w:rsidR="00204782">
        <w:rPr>
          <w:bCs/>
          <w:color w:val="000000" w:themeColor="text1"/>
          <w:lang w:eastAsia="en-AU" w:bidi="ar-SA"/>
        </w:rPr>
        <w:t>that of control females</w:t>
      </w:r>
      <w:r w:rsidR="007532C3">
        <w:rPr>
          <w:bCs/>
          <w:color w:val="000000" w:themeColor="text1"/>
          <w:lang w:eastAsia="en-AU" w:bidi="ar-SA"/>
        </w:rPr>
        <w:t xml:space="preserve"> </w:t>
      </w:r>
      <w:r w:rsidR="00594FF7">
        <w:rPr>
          <w:bCs/>
          <w:color w:val="000000" w:themeColor="text1"/>
          <w:lang w:eastAsia="en-AU" w:bidi="ar-SA"/>
        </w:rPr>
        <w:t>(</w:t>
      </w:r>
      <w:r w:rsidR="007532C3">
        <w:rPr>
          <w:bCs/>
          <w:color w:val="000000" w:themeColor="text1"/>
          <w:lang w:eastAsia="en-AU" w:bidi="ar-SA"/>
        </w:rPr>
        <w:t>8.5 kg</w:t>
      </w:r>
      <w:r w:rsidR="00594FF7">
        <w:rPr>
          <w:bCs/>
          <w:color w:val="000000" w:themeColor="text1"/>
          <w:lang w:eastAsia="en-AU" w:bidi="ar-SA"/>
        </w:rPr>
        <w:t>)</w:t>
      </w:r>
      <w:r w:rsidR="009562E2">
        <w:rPr>
          <w:bCs/>
          <w:color w:val="000000" w:themeColor="text1"/>
          <w:lang w:eastAsia="en-AU" w:bidi="ar-SA"/>
        </w:rPr>
        <w:t xml:space="preserve">, a difference that was </w:t>
      </w:r>
      <w:r w:rsidR="007532C3">
        <w:rPr>
          <w:bCs/>
          <w:color w:val="000000" w:themeColor="text1"/>
          <w:lang w:eastAsia="en-AU" w:bidi="ar-SA"/>
        </w:rPr>
        <w:t>not statistically significant</w:t>
      </w:r>
      <w:r w:rsidR="00D34CFC">
        <w:rPr>
          <w:bCs/>
          <w:color w:val="000000" w:themeColor="text1"/>
          <w:lang w:eastAsia="en-AU" w:bidi="ar-SA"/>
        </w:rPr>
        <w:t>. Group mean bodyweights of the 150 and 500 mg/kg bw/day females</w:t>
      </w:r>
      <w:r w:rsidR="009562E2">
        <w:rPr>
          <w:bCs/>
          <w:color w:val="000000" w:themeColor="text1"/>
          <w:lang w:eastAsia="en-AU" w:bidi="ar-SA"/>
        </w:rPr>
        <w:t xml:space="preserve"> at the end of the study, 8.4 and 8.6 kg respectively,</w:t>
      </w:r>
      <w:r w:rsidR="00D34CFC">
        <w:rPr>
          <w:bCs/>
          <w:color w:val="000000" w:themeColor="text1"/>
          <w:lang w:eastAsia="en-AU" w:bidi="ar-SA"/>
        </w:rPr>
        <w:t xml:space="preserve"> were comparable to the value for control females. </w:t>
      </w:r>
      <w:r w:rsidR="00594FF7">
        <w:rPr>
          <w:bCs/>
          <w:color w:val="000000" w:themeColor="text1"/>
          <w:lang w:eastAsia="en-AU" w:bidi="ar-SA"/>
        </w:rPr>
        <w:t xml:space="preserve">Group mean cumulative bodyweight gain of 1000 mg/kg bw/day males over the entire study (2.2 kg) was lower than that of control males (3.4 kg), but this difference did not reach statistical significance. </w:t>
      </w:r>
      <w:r w:rsidR="00EB46EF">
        <w:rPr>
          <w:bCs/>
          <w:color w:val="000000" w:themeColor="text1"/>
          <w:lang w:eastAsia="en-AU" w:bidi="ar-SA"/>
        </w:rPr>
        <w:t>Bodyweight</w:t>
      </w:r>
      <w:r w:rsidR="00EB46EF" w:rsidDel="00E62991">
        <w:rPr>
          <w:bCs/>
          <w:color w:val="000000" w:themeColor="text1"/>
          <w:lang w:eastAsia="en-AU" w:bidi="ar-SA"/>
        </w:rPr>
        <w:t xml:space="preserve"> </w:t>
      </w:r>
      <w:r w:rsidR="00EB46EF">
        <w:rPr>
          <w:bCs/>
          <w:color w:val="000000" w:themeColor="text1"/>
          <w:lang w:eastAsia="en-AU" w:bidi="ar-SA"/>
        </w:rPr>
        <w:t xml:space="preserve">data are presented in </w:t>
      </w:r>
      <w:r w:rsidR="00EB46EF" w:rsidRPr="00B87286">
        <w:rPr>
          <w:b/>
          <w:bCs/>
          <w:color w:val="000000" w:themeColor="text1"/>
          <w:lang w:eastAsia="en-AU" w:bidi="ar-SA"/>
        </w:rPr>
        <w:t>Table 3.</w:t>
      </w:r>
    </w:p>
    <w:p w14:paraId="27171B86" w14:textId="7335D681" w:rsidR="004C28B5" w:rsidRDefault="004C28B5" w:rsidP="00FF4BC6">
      <w:pPr>
        <w:rPr>
          <w:bCs/>
          <w:color w:val="000000" w:themeColor="text1"/>
          <w:lang w:eastAsia="en-AU" w:bidi="ar-SA"/>
        </w:rPr>
      </w:pPr>
    </w:p>
    <w:p w14:paraId="73730E6B" w14:textId="77777777" w:rsidR="004C28B5" w:rsidRDefault="004C28B5">
      <w:pPr>
        <w:widowControl/>
        <w:rPr>
          <w:bCs/>
          <w:color w:val="000000" w:themeColor="text1"/>
          <w:lang w:eastAsia="en-AU" w:bidi="ar-SA"/>
        </w:rPr>
      </w:pPr>
      <w:r>
        <w:rPr>
          <w:bCs/>
          <w:color w:val="000000" w:themeColor="text1"/>
          <w:lang w:eastAsia="en-AU" w:bidi="ar-SA"/>
        </w:rPr>
        <w:br w:type="page"/>
      </w:r>
    </w:p>
    <w:p w14:paraId="2408D7F8" w14:textId="4182E89E" w:rsidR="00EB46EF" w:rsidRDefault="00406EB2" w:rsidP="00FF4BC6">
      <w:pPr>
        <w:rPr>
          <w:bCs/>
          <w:i/>
          <w:color w:val="000000" w:themeColor="text1"/>
          <w:lang w:eastAsia="en-AU" w:bidi="ar-SA"/>
        </w:rPr>
      </w:pPr>
      <w:r w:rsidRPr="002746B1">
        <w:rPr>
          <w:b/>
        </w:rPr>
        <w:t xml:space="preserve">Table </w:t>
      </w:r>
      <w:r w:rsidRPr="002746B1">
        <w:fldChar w:fldCharType="begin"/>
      </w:r>
      <w:r w:rsidRPr="002746B1">
        <w:rPr>
          <w:b/>
        </w:rPr>
        <w:instrText xml:space="preserve"> SEQ Table \* ARABIC </w:instrText>
      </w:r>
      <w:r w:rsidRPr="002746B1">
        <w:fldChar w:fldCharType="separate"/>
      </w:r>
      <w:r w:rsidR="00E202C8">
        <w:rPr>
          <w:b/>
          <w:noProof/>
        </w:rPr>
        <w:t>3</w:t>
      </w:r>
      <w:r w:rsidRPr="002746B1">
        <w:fldChar w:fldCharType="end"/>
      </w:r>
      <w:r w:rsidR="00EB46EF" w:rsidRPr="00B87286">
        <w:rPr>
          <w:b/>
          <w:bCs/>
          <w:color w:val="000000" w:themeColor="text1"/>
          <w:lang w:eastAsia="en-AU" w:bidi="ar-SA"/>
        </w:rPr>
        <w:t>:</w:t>
      </w:r>
      <w:r w:rsidR="00EB46EF">
        <w:rPr>
          <w:bCs/>
          <w:color w:val="000000" w:themeColor="text1"/>
          <w:lang w:eastAsia="en-AU" w:bidi="ar-SA"/>
        </w:rPr>
        <w:t xml:space="preserve"> </w:t>
      </w:r>
      <w:r w:rsidR="00EB46EF" w:rsidRPr="00B87286">
        <w:rPr>
          <w:bCs/>
          <w:i/>
          <w:color w:val="000000" w:themeColor="text1"/>
          <w:lang w:eastAsia="en-AU" w:bidi="ar-SA"/>
        </w:rPr>
        <w:t xml:space="preserve">Bodyweight gain data </w:t>
      </w:r>
      <w:r w:rsidR="008F1399">
        <w:rPr>
          <w:bCs/>
          <w:i/>
          <w:color w:val="000000" w:themeColor="text1"/>
          <w:lang w:eastAsia="en-AU" w:bidi="ar-SA"/>
        </w:rPr>
        <w:t xml:space="preserve">in capsule study in Beagles </w:t>
      </w:r>
    </w:p>
    <w:p w14:paraId="4DAC3D18" w14:textId="2118E524" w:rsidR="00EB46EF" w:rsidRDefault="00EB46EF" w:rsidP="00FF4BC6">
      <w:pPr>
        <w:rPr>
          <w:bCs/>
          <w:i/>
          <w:color w:val="000000" w:themeColor="text1"/>
          <w:lang w:eastAsia="en-AU" w:bidi="ar-SA"/>
        </w:rPr>
      </w:pPr>
    </w:p>
    <w:tbl>
      <w:tblPr>
        <w:tblStyle w:val="TableGrid"/>
        <w:tblW w:w="0" w:type="auto"/>
        <w:tblLook w:val="04A0" w:firstRow="1" w:lastRow="0" w:firstColumn="1" w:lastColumn="0" w:noHBand="0" w:noVBand="1"/>
      </w:tblPr>
      <w:tblGrid>
        <w:gridCol w:w="988"/>
        <w:gridCol w:w="1275"/>
        <w:gridCol w:w="1560"/>
        <w:gridCol w:w="1559"/>
        <w:gridCol w:w="2168"/>
        <w:gridCol w:w="1510"/>
      </w:tblGrid>
      <w:tr w:rsidR="00927FD8" w14:paraId="42FBDA55" w14:textId="77777777" w:rsidTr="00F97E66">
        <w:tc>
          <w:tcPr>
            <w:tcW w:w="2263" w:type="dxa"/>
            <w:gridSpan w:val="2"/>
            <w:vMerge w:val="restart"/>
          </w:tcPr>
          <w:p w14:paraId="5B590E93" w14:textId="15B76284" w:rsidR="00927FD8" w:rsidRDefault="00927FD8" w:rsidP="00B87286">
            <w:pPr>
              <w:jc w:val="center"/>
              <w:rPr>
                <w:b/>
                <w:bCs/>
                <w:i/>
                <w:color w:val="000000" w:themeColor="text1"/>
                <w:lang w:eastAsia="en-AU" w:bidi="ar-SA"/>
              </w:rPr>
            </w:pPr>
            <w:r w:rsidRPr="00B87286">
              <w:rPr>
                <w:b/>
                <w:bCs/>
                <w:i/>
                <w:color w:val="000000" w:themeColor="text1"/>
                <w:lang w:eastAsia="en-AU" w:bidi="ar-SA"/>
              </w:rPr>
              <w:t>Group</w:t>
            </w:r>
          </w:p>
          <w:p w14:paraId="374B1DBF" w14:textId="3C4EAC31" w:rsidR="00927FD8" w:rsidRPr="0074223A" w:rsidRDefault="00927FD8" w:rsidP="00B87286">
            <w:pPr>
              <w:jc w:val="center"/>
              <w:rPr>
                <w:b/>
                <w:bCs/>
                <w:i/>
                <w:color w:val="000000" w:themeColor="text1"/>
                <w:lang w:eastAsia="en-AU" w:bidi="ar-SA"/>
              </w:rPr>
            </w:pPr>
            <w:r>
              <w:rPr>
                <w:b/>
                <w:bCs/>
                <w:i/>
                <w:color w:val="000000" w:themeColor="text1"/>
                <w:lang w:eastAsia="en-AU" w:bidi="ar-SA"/>
              </w:rPr>
              <w:t>(n =4/group)</w:t>
            </w:r>
          </w:p>
          <w:p w14:paraId="3F22AE94" w14:textId="1DAFD8F3" w:rsidR="00927FD8" w:rsidRPr="00B87286" w:rsidRDefault="00927FD8" w:rsidP="00B87286">
            <w:pPr>
              <w:jc w:val="center"/>
              <w:rPr>
                <w:b/>
                <w:bCs/>
                <w:i/>
                <w:color w:val="000000" w:themeColor="text1"/>
                <w:lang w:eastAsia="en-AU" w:bidi="ar-SA"/>
              </w:rPr>
            </w:pPr>
          </w:p>
        </w:tc>
        <w:tc>
          <w:tcPr>
            <w:tcW w:w="1560" w:type="dxa"/>
            <w:vMerge w:val="restart"/>
          </w:tcPr>
          <w:p w14:paraId="75B5F15F" w14:textId="77777777" w:rsidR="00927FD8" w:rsidRPr="0074223A" w:rsidRDefault="00927FD8" w:rsidP="00B87286">
            <w:pPr>
              <w:jc w:val="center"/>
              <w:rPr>
                <w:b/>
                <w:bCs/>
                <w:i/>
                <w:color w:val="000000" w:themeColor="text1"/>
                <w:lang w:eastAsia="en-AU" w:bidi="ar-SA"/>
              </w:rPr>
            </w:pPr>
            <w:r w:rsidRPr="00B87286">
              <w:rPr>
                <w:b/>
                <w:bCs/>
                <w:i/>
                <w:color w:val="000000" w:themeColor="text1"/>
                <w:lang w:eastAsia="en-AU" w:bidi="ar-SA"/>
              </w:rPr>
              <w:t>Mean bodyweight (kg) Week 0</w:t>
            </w:r>
          </w:p>
          <w:p w14:paraId="309034B0" w14:textId="1931031E" w:rsidR="00927FD8" w:rsidRPr="00B87286" w:rsidRDefault="00927FD8" w:rsidP="00B87286">
            <w:pPr>
              <w:jc w:val="center"/>
              <w:rPr>
                <w:b/>
                <w:bCs/>
                <w:i/>
                <w:color w:val="000000" w:themeColor="text1"/>
                <w:lang w:eastAsia="en-AU" w:bidi="ar-SA"/>
              </w:rPr>
            </w:pPr>
          </w:p>
        </w:tc>
        <w:tc>
          <w:tcPr>
            <w:tcW w:w="1559" w:type="dxa"/>
            <w:vMerge w:val="restart"/>
          </w:tcPr>
          <w:p w14:paraId="730DB423" w14:textId="77777777" w:rsidR="00927FD8" w:rsidRPr="0074223A" w:rsidRDefault="00927FD8" w:rsidP="00B87286">
            <w:pPr>
              <w:jc w:val="center"/>
              <w:rPr>
                <w:b/>
                <w:bCs/>
                <w:i/>
                <w:color w:val="000000" w:themeColor="text1"/>
                <w:lang w:eastAsia="en-AU" w:bidi="ar-SA"/>
              </w:rPr>
            </w:pPr>
            <w:r w:rsidRPr="00B87286">
              <w:rPr>
                <w:b/>
                <w:bCs/>
                <w:i/>
                <w:color w:val="000000" w:themeColor="text1"/>
                <w:lang w:eastAsia="en-AU" w:bidi="ar-SA"/>
              </w:rPr>
              <w:t>Mean bodyweight (kg) Week 13</w:t>
            </w:r>
          </w:p>
          <w:p w14:paraId="2742245F" w14:textId="56FF19D2" w:rsidR="00927FD8" w:rsidRPr="00B87286" w:rsidRDefault="00927FD8" w:rsidP="00B87286">
            <w:pPr>
              <w:jc w:val="center"/>
              <w:rPr>
                <w:b/>
                <w:bCs/>
                <w:i/>
                <w:color w:val="000000" w:themeColor="text1"/>
                <w:lang w:eastAsia="en-AU" w:bidi="ar-SA"/>
              </w:rPr>
            </w:pPr>
          </w:p>
        </w:tc>
        <w:tc>
          <w:tcPr>
            <w:tcW w:w="3678" w:type="dxa"/>
            <w:gridSpan w:val="2"/>
          </w:tcPr>
          <w:p w14:paraId="7B335BC6" w14:textId="7C54C34C" w:rsidR="00927FD8" w:rsidRDefault="00927FD8" w:rsidP="00B87286">
            <w:pPr>
              <w:jc w:val="center"/>
              <w:rPr>
                <w:b/>
                <w:bCs/>
                <w:i/>
                <w:color w:val="000000" w:themeColor="text1"/>
                <w:lang w:eastAsia="en-AU" w:bidi="ar-SA"/>
              </w:rPr>
            </w:pPr>
            <w:r w:rsidRPr="00B87286">
              <w:rPr>
                <w:b/>
                <w:bCs/>
                <w:i/>
                <w:color w:val="000000" w:themeColor="text1"/>
                <w:lang w:eastAsia="en-AU" w:bidi="ar-SA"/>
              </w:rPr>
              <w:t>Mean bodyweight change</w:t>
            </w:r>
          </w:p>
          <w:p w14:paraId="24076A96" w14:textId="38ADB632" w:rsidR="00927FD8" w:rsidRPr="0074223A" w:rsidRDefault="00927FD8" w:rsidP="00B87286">
            <w:pPr>
              <w:jc w:val="center"/>
              <w:rPr>
                <w:b/>
                <w:bCs/>
                <w:i/>
                <w:color w:val="000000" w:themeColor="text1"/>
                <w:lang w:eastAsia="en-AU" w:bidi="ar-SA"/>
              </w:rPr>
            </w:pPr>
            <w:r w:rsidRPr="00B87286">
              <w:rPr>
                <w:b/>
                <w:bCs/>
                <w:i/>
                <w:color w:val="000000" w:themeColor="text1"/>
                <w:lang w:eastAsia="en-AU" w:bidi="ar-SA"/>
              </w:rPr>
              <w:t xml:space="preserve">Weeks 0-13 </w:t>
            </w:r>
          </w:p>
          <w:p w14:paraId="7B673F7F" w14:textId="264AF0DF" w:rsidR="00927FD8" w:rsidRPr="00B87286" w:rsidRDefault="00927FD8" w:rsidP="00B87286">
            <w:pPr>
              <w:jc w:val="center"/>
              <w:rPr>
                <w:b/>
                <w:bCs/>
                <w:i/>
                <w:color w:val="000000" w:themeColor="text1"/>
                <w:lang w:eastAsia="en-AU" w:bidi="ar-SA"/>
              </w:rPr>
            </w:pPr>
          </w:p>
        </w:tc>
      </w:tr>
      <w:tr w:rsidR="00927FD8" w14:paraId="7A4E8B77" w14:textId="77777777" w:rsidTr="008168A2">
        <w:tc>
          <w:tcPr>
            <w:tcW w:w="2263" w:type="dxa"/>
            <w:gridSpan w:val="2"/>
            <w:vMerge/>
          </w:tcPr>
          <w:p w14:paraId="22BAD795" w14:textId="2CF877CC" w:rsidR="00927FD8" w:rsidRPr="0074223A" w:rsidRDefault="00927FD8" w:rsidP="00B87286">
            <w:pPr>
              <w:jc w:val="center"/>
              <w:rPr>
                <w:b/>
                <w:bCs/>
                <w:i/>
                <w:color w:val="000000" w:themeColor="text1"/>
                <w:lang w:eastAsia="en-AU" w:bidi="ar-SA"/>
              </w:rPr>
            </w:pPr>
          </w:p>
        </w:tc>
        <w:tc>
          <w:tcPr>
            <w:tcW w:w="1560" w:type="dxa"/>
            <w:vMerge/>
          </w:tcPr>
          <w:p w14:paraId="74ED2C6B" w14:textId="4DE008C3" w:rsidR="00927FD8" w:rsidRPr="0074223A" w:rsidRDefault="00927FD8" w:rsidP="00B87286">
            <w:pPr>
              <w:jc w:val="center"/>
              <w:rPr>
                <w:b/>
                <w:bCs/>
                <w:i/>
                <w:color w:val="000000" w:themeColor="text1"/>
                <w:lang w:eastAsia="en-AU" w:bidi="ar-SA"/>
              </w:rPr>
            </w:pPr>
          </w:p>
        </w:tc>
        <w:tc>
          <w:tcPr>
            <w:tcW w:w="1559" w:type="dxa"/>
            <w:vMerge/>
          </w:tcPr>
          <w:p w14:paraId="49CDF50A" w14:textId="7423ABC3" w:rsidR="00927FD8" w:rsidRPr="0074223A" w:rsidRDefault="00927FD8" w:rsidP="00B87286">
            <w:pPr>
              <w:jc w:val="center"/>
              <w:rPr>
                <w:b/>
                <w:bCs/>
                <w:i/>
                <w:color w:val="000000" w:themeColor="text1"/>
                <w:lang w:eastAsia="en-AU" w:bidi="ar-SA"/>
              </w:rPr>
            </w:pPr>
          </w:p>
        </w:tc>
        <w:tc>
          <w:tcPr>
            <w:tcW w:w="2168" w:type="dxa"/>
          </w:tcPr>
          <w:p w14:paraId="7D3E5752" w14:textId="58289965" w:rsidR="00927FD8" w:rsidRPr="0074223A" w:rsidRDefault="00927FD8" w:rsidP="00B87286">
            <w:pPr>
              <w:jc w:val="center"/>
              <w:rPr>
                <w:b/>
                <w:bCs/>
                <w:i/>
                <w:color w:val="000000" w:themeColor="text1"/>
                <w:lang w:eastAsia="en-AU" w:bidi="ar-SA"/>
              </w:rPr>
            </w:pPr>
            <w:r>
              <w:rPr>
                <w:b/>
                <w:bCs/>
                <w:i/>
                <w:color w:val="000000" w:themeColor="text1"/>
                <w:lang w:eastAsia="en-AU" w:bidi="ar-SA"/>
              </w:rPr>
              <w:t>kg</w:t>
            </w:r>
          </w:p>
        </w:tc>
        <w:tc>
          <w:tcPr>
            <w:tcW w:w="1510" w:type="dxa"/>
          </w:tcPr>
          <w:p w14:paraId="5BA8EB0F" w14:textId="235DD4D4" w:rsidR="00927FD8" w:rsidRPr="0074223A" w:rsidRDefault="00927FD8" w:rsidP="00B87286">
            <w:pPr>
              <w:jc w:val="center"/>
              <w:rPr>
                <w:b/>
                <w:bCs/>
                <w:i/>
                <w:color w:val="000000" w:themeColor="text1"/>
                <w:lang w:eastAsia="en-AU" w:bidi="ar-SA"/>
              </w:rPr>
            </w:pPr>
            <w:r>
              <w:rPr>
                <w:b/>
                <w:bCs/>
                <w:i/>
                <w:color w:val="000000" w:themeColor="text1"/>
                <w:lang w:eastAsia="en-AU" w:bidi="ar-SA"/>
              </w:rPr>
              <w:t>As % of control change</w:t>
            </w:r>
          </w:p>
        </w:tc>
      </w:tr>
      <w:tr w:rsidR="00217D17" w14:paraId="2DD32D72" w14:textId="77777777" w:rsidTr="00B87286">
        <w:tc>
          <w:tcPr>
            <w:tcW w:w="988" w:type="dxa"/>
            <w:vMerge w:val="restart"/>
          </w:tcPr>
          <w:p w14:paraId="7060752E" w14:textId="38993EAE" w:rsidR="00217D17" w:rsidRDefault="008168A2" w:rsidP="00FF4BC6">
            <w:pPr>
              <w:rPr>
                <w:bCs/>
                <w:i/>
                <w:color w:val="000000" w:themeColor="text1"/>
                <w:lang w:eastAsia="en-AU" w:bidi="ar-SA"/>
              </w:rPr>
            </w:pPr>
            <w:r>
              <w:rPr>
                <w:bCs/>
                <w:i/>
                <w:color w:val="000000" w:themeColor="text1"/>
                <w:lang w:eastAsia="en-AU" w:bidi="ar-SA"/>
              </w:rPr>
              <w:t>Male</w:t>
            </w:r>
          </w:p>
        </w:tc>
        <w:tc>
          <w:tcPr>
            <w:tcW w:w="1275" w:type="dxa"/>
          </w:tcPr>
          <w:p w14:paraId="3F7C4CBD" w14:textId="206C3D57" w:rsidR="00217D17" w:rsidRDefault="008168A2" w:rsidP="00FF4BC6">
            <w:pPr>
              <w:rPr>
                <w:bCs/>
                <w:i/>
                <w:color w:val="000000" w:themeColor="text1"/>
                <w:lang w:eastAsia="en-AU" w:bidi="ar-SA"/>
              </w:rPr>
            </w:pPr>
            <w:r>
              <w:rPr>
                <w:bCs/>
                <w:i/>
                <w:color w:val="000000" w:themeColor="text1"/>
                <w:lang w:eastAsia="en-AU" w:bidi="ar-SA"/>
              </w:rPr>
              <w:t>Control</w:t>
            </w:r>
          </w:p>
        </w:tc>
        <w:tc>
          <w:tcPr>
            <w:tcW w:w="1560" w:type="dxa"/>
          </w:tcPr>
          <w:p w14:paraId="1E98BF36" w14:textId="41317B20" w:rsidR="00217D17" w:rsidRPr="00B87286" w:rsidRDefault="00927FD8" w:rsidP="00B87286">
            <w:pPr>
              <w:jc w:val="center"/>
              <w:rPr>
                <w:bCs/>
                <w:color w:val="000000" w:themeColor="text1"/>
                <w:lang w:eastAsia="en-AU" w:bidi="ar-SA"/>
              </w:rPr>
            </w:pPr>
            <w:r>
              <w:rPr>
                <w:bCs/>
                <w:color w:val="000000" w:themeColor="text1"/>
                <w:lang w:eastAsia="en-AU" w:bidi="ar-SA"/>
              </w:rPr>
              <w:t xml:space="preserve">7.0 </w:t>
            </w:r>
            <w:r>
              <w:rPr>
                <w:rFonts w:cs="Arial"/>
                <w:bCs/>
                <w:color w:val="000000" w:themeColor="text1"/>
                <w:lang w:eastAsia="en-AU" w:bidi="ar-SA"/>
              </w:rPr>
              <w:t>±</w:t>
            </w:r>
            <w:r>
              <w:rPr>
                <w:bCs/>
                <w:color w:val="000000" w:themeColor="text1"/>
                <w:lang w:eastAsia="en-AU" w:bidi="ar-SA"/>
              </w:rPr>
              <w:t xml:space="preserve"> 0.33</w:t>
            </w:r>
          </w:p>
        </w:tc>
        <w:tc>
          <w:tcPr>
            <w:tcW w:w="1559" w:type="dxa"/>
          </w:tcPr>
          <w:p w14:paraId="64EC3835" w14:textId="5E076E43" w:rsidR="00217D17" w:rsidRPr="00B87286" w:rsidRDefault="0030016F" w:rsidP="00B87286">
            <w:pPr>
              <w:jc w:val="center"/>
              <w:rPr>
                <w:bCs/>
                <w:color w:val="000000" w:themeColor="text1"/>
                <w:lang w:eastAsia="en-AU" w:bidi="ar-SA"/>
              </w:rPr>
            </w:pPr>
            <w:r>
              <w:rPr>
                <w:bCs/>
                <w:color w:val="000000" w:themeColor="text1"/>
                <w:lang w:eastAsia="en-AU" w:bidi="ar-SA"/>
              </w:rPr>
              <w:t xml:space="preserve">10.4 </w:t>
            </w:r>
            <w:r>
              <w:rPr>
                <w:rFonts w:cs="Arial"/>
                <w:bCs/>
                <w:color w:val="000000" w:themeColor="text1"/>
                <w:lang w:eastAsia="en-AU" w:bidi="ar-SA"/>
              </w:rPr>
              <w:t>±</w:t>
            </w:r>
            <w:r>
              <w:rPr>
                <w:bCs/>
                <w:color w:val="000000" w:themeColor="text1"/>
                <w:lang w:eastAsia="en-AU" w:bidi="ar-SA"/>
              </w:rPr>
              <w:t xml:space="preserve"> 1.47</w:t>
            </w:r>
          </w:p>
        </w:tc>
        <w:tc>
          <w:tcPr>
            <w:tcW w:w="2168" w:type="dxa"/>
          </w:tcPr>
          <w:p w14:paraId="55352EEE" w14:textId="15DB2FD1" w:rsidR="00217D17" w:rsidRPr="00B87286" w:rsidRDefault="0074223A" w:rsidP="00B87286">
            <w:pPr>
              <w:jc w:val="center"/>
              <w:rPr>
                <w:bCs/>
                <w:color w:val="000000" w:themeColor="text1"/>
                <w:lang w:eastAsia="en-AU" w:bidi="ar-SA"/>
              </w:rPr>
            </w:pPr>
            <w:r w:rsidRPr="00B87286">
              <w:rPr>
                <w:bCs/>
                <w:color w:val="000000" w:themeColor="text1"/>
                <w:lang w:eastAsia="en-AU" w:bidi="ar-SA"/>
              </w:rPr>
              <w:t xml:space="preserve">3.4 </w:t>
            </w:r>
            <w:r w:rsidRPr="00B87286">
              <w:rPr>
                <w:rFonts w:cs="Arial"/>
                <w:bCs/>
                <w:color w:val="000000" w:themeColor="text1"/>
                <w:lang w:eastAsia="en-AU" w:bidi="ar-SA"/>
              </w:rPr>
              <w:t>± 1.19</w:t>
            </w:r>
          </w:p>
        </w:tc>
        <w:tc>
          <w:tcPr>
            <w:tcW w:w="1510" w:type="dxa"/>
          </w:tcPr>
          <w:p w14:paraId="74564CF4" w14:textId="7F1504AC" w:rsidR="00217D17" w:rsidRPr="00B87286" w:rsidRDefault="008168A2" w:rsidP="00B87286">
            <w:pPr>
              <w:jc w:val="center"/>
              <w:rPr>
                <w:bCs/>
                <w:color w:val="000000" w:themeColor="text1"/>
                <w:lang w:eastAsia="en-AU" w:bidi="ar-SA"/>
              </w:rPr>
            </w:pPr>
            <w:r w:rsidRPr="00B87286">
              <w:rPr>
                <w:bCs/>
                <w:color w:val="000000" w:themeColor="text1"/>
                <w:lang w:eastAsia="en-AU" w:bidi="ar-SA"/>
              </w:rPr>
              <w:t>-</w:t>
            </w:r>
          </w:p>
        </w:tc>
      </w:tr>
      <w:tr w:rsidR="00217D17" w14:paraId="1EABB874" w14:textId="77777777" w:rsidTr="00B87286">
        <w:tc>
          <w:tcPr>
            <w:tcW w:w="988" w:type="dxa"/>
            <w:vMerge/>
          </w:tcPr>
          <w:p w14:paraId="19832B2F" w14:textId="77777777" w:rsidR="00217D17" w:rsidRDefault="00217D17" w:rsidP="00FF4BC6">
            <w:pPr>
              <w:rPr>
                <w:bCs/>
                <w:i/>
                <w:color w:val="000000" w:themeColor="text1"/>
                <w:lang w:eastAsia="en-AU" w:bidi="ar-SA"/>
              </w:rPr>
            </w:pPr>
          </w:p>
        </w:tc>
        <w:tc>
          <w:tcPr>
            <w:tcW w:w="1275" w:type="dxa"/>
          </w:tcPr>
          <w:p w14:paraId="581C6976" w14:textId="6EE037A7" w:rsidR="00217D17" w:rsidRDefault="008168A2" w:rsidP="00FF4BC6">
            <w:pPr>
              <w:rPr>
                <w:bCs/>
                <w:i/>
                <w:color w:val="000000" w:themeColor="text1"/>
                <w:lang w:eastAsia="en-AU" w:bidi="ar-SA"/>
              </w:rPr>
            </w:pPr>
            <w:r>
              <w:rPr>
                <w:bCs/>
                <w:i/>
                <w:color w:val="000000" w:themeColor="text1"/>
                <w:lang w:eastAsia="en-AU" w:bidi="ar-SA"/>
              </w:rPr>
              <w:t>150 mg/kg</w:t>
            </w:r>
          </w:p>
        </w:tc>
        <w:tc>
          <w:tcPr>
            <w:tcW w:w="1560" w:type="dxa"/>
          </w:tcPr>
          <w:p w14:paraId="5506C755" w14:textId="2FF5CC4C" w:rsidR="00217D17" w:rsidRPr="00B87286" w:rsidRDefault="00927FD8" w:rsidP="00B87286">
            <w:pPr>
              <w:jc w:val="center"/>
              <w:rPr>
                <w:bCs/>
                <w:color w:val="000000" w:themeColor="text1"/>
                <w:lang w:eastAsia="en-AU" w:bidi="ar-SA"/>
              </w:rPr>
            </w:pPr>
            <w:r>
              <w:rPr>
                <w:bCs/>
                <w:color w:val="000000" w:themeColor="text1"/>
                <w:lang w:eastAsia="en-AU" w:bidi="ar-SA"/>
              </w:rPr>
              <w:t xml:space="preserve">7.0 </w:t>
            </w:r>
            <w:r>
              <w:rPr>
                <w:rFonts w:cs="Arial"/>
                <w:bCs/>
                <w:color w:val="000000" w:themeColor="text1"/>
                <w:lang w:eastAsia="en-AU" w:bidi="ar-SA"/>
              </w:rPr>
              <w:t>±</w:t>
            </w:r>
            <w:r>
              <w:rPr>
                <w:bCs/>
                <w:color w:val="000000" w:themeColor="text1"/>
                <w:lang w:eastAsia="en-AU" w:bidi="ar-SA"/>
              </w:rPr>
              <w:t xml:space="preserve"> 0.51</w:t>
            </w:r>
          </w:p>
        </w:tc>
        <w:tc>
          <w:tcPr>
            <w:tcW w:w="1559" w:type="dxa"/>
          </w:tcPr>
          <w:p w14:paraId="0019DE33" w14:textId="3A8C44AA" w:rsidR="00217D17" w:rsidRPr="00B87286" w:rsidRDefault="0030016F" w:rsidP="00B87286">
            <w:pPr>
              <w:jc w:val="center"/>
              <w:rPr>
                <w:bCs/>
                <w:color w:val="000000" w:themeColor="text1"/>
                <w:lang w:eastAsia="en-AU" w:bidi="ar-SA"/>
              </w:rPr>
            </w:pPr>
            <w:r>
              <w:rPr>
                <w:bCs/>
                <w:color w:val="000000" w:themeColor="text1"/>
                <w:lang w:eastAsia="en-AU" w:bidi="ar-SA"/>
              </w:rPr>
              <w:t xml:space="preserve">10.0 </w:t>
            </w:r>
            <w:r>
              <w:rPr>
                <w:rFonts w:cs="Arial"/>
                <w:bCs/>
                <w:color w:val="000000" w:themeColor="text1"/>
                <w:lang w:eastAsia="en-AU" w:bidi="ar-SA"/>
              </w:rPr>
              <w:t>±</w:t>
            </w:r>
            <w:r>
              <w:rPr>
                <w:bCs/>
                <w:color w:val="000000" w:themeColor="text1"/>
                <w:lang w:eastAsia="en-AU" w:bidi="ar-SA"/>
              </w:rPr>
              <w:t xml:space="preserve"> 0.91</w:t>
            </w:r>
          </w:p>
        </w:tc>
        <w:tc>
          <w:tcPr>
            <w:tcW w:w="2168" w:type="dxa"/>
          </w:tcPr>
          <w:p w14:paraId="7B6E0797" w14:textId="690D37E6" w:rsidR="00217D17" w:rsidRPr="00B87286" w:rsidRDefault="0074223A" w:rsidP="00B87286">
            <w:pPr>
              <w:jc w:val="center"/>
              <w:rPr>
                <w:bCs/>
                <w:color w:val="000000" w:themeColor="text1"/>
                <w:lang w:eastAsia="en-AU" w:bidi="ar-SA"/>
              </w:rPr>
            </w:pPr>
            <w:r w:rsidRPr="00B87286">
              <w:rPr>
                <w:bCs/>
                <w:color w:val="000000" w:themeColor="text1"/>
                <w:lang w:eastAsia="en-AU" w:bidi="ar-SA"/>
              </w:rPr>
              <w:t xml:space="preserve">3.0 </w:t>
            </w:r>
            <w:r w:rsidRPr="00B87286">
              <w:rPr>
                <w:rFonts w:cs="Arial"/>
                <w:bCs/>
                <w:color w:val="000000" w:themeColor="text1"/>
                <w:lang w:eastAsia="en-AU" w:bidi="ar-SA"/>
              </w:rPr>
              <w:t>±</w:t>
            </w:r>
            <w:r w:rsidRPr="00B87286">
              <w:rPr>
                <w:bCs/>
                <w:color w:val="000000" w:themeColor="text1"/>
                <w:lang w:eastAsia="en-AU" w:bidi="ar-SA"/>
              </w:rPr>
              <w:t xml:space="preserve"> 0.79</w:t>
            </w:r>
          </w:p>
        </w:tc>
        <w:tc>
          <w:tcPr>
            <w:tcW w:w="1510" w:type="dxa"/>
          </w:tcPr>
          <w:p w14:paraId="47262D7C" w14:textId="654F7D90" w:rsidR="00217D17" w:rsidRPr="00B87286" w:rsidRDefault="005F66C2" w:rsidP="00B87286">
            <w:pPr>
              <w:jc w:val="center"/>
              <w:rPr>
                <w:bCs/>
                <w:color w:val="000000" w:themeColor="text1"/>
                <w:lang w:eastAsia="en-AU" w:bidi="ar-SA"/>
              </w:rPr>
            </w:pPr>
            <w:r>
              <w:rPr>
                <w:bCs/>
                <w:color w:val="000000" w:themeColor="text1"/>
                <w:lang w:eastAsia="en-AU" w:bidi="ar-SA"/>
              </w:rPr>
              <w:t>88%</w:t>
            </w:r>
          </w:p>
        </w:tc>
      </w:tr>
      <w:tr w:rsidR="00217D17" w14:paraId="469979DE" w14:textId="77777777" w:rsidTr="00B87286">
        <w:tc>
          <w:tcPr>
            <w:tcW w:w="988" w:type="dxa"/>
            <w:vMerge/>
          </w:tcPr>
          <w:p w14:paraId="3CCFFBC7" w14:textId="77777777" w:rsidR="00217D17" w:rsidRDefault="00217D17" w:rsidP="00FF4BC6">
            <w:pPr>
              <w:rPr>
                <w:bCs/>
                <w:i/>
                <w:color w:val="000000" w:themeColor="text1"/>
                <w:lang w:eastAsia="en-AU" w:bidi="ar-SA"/>
              </w:rPr>
            </w:pPr>
          </w:p>
        </w:tc>
        <w:tc>
          <w:tcPr>
            <w:tcW w:w="1275" w:type="dxa"/>
          </w:tcPr>
          <w:p w14:paraId="11FADFA1" w14:textId="05DB491F" w:rsidR="00217D17" w:rsidRDefault="008168A2" w:rsidP="00FF4BC6">
            <w:pPr>
              <w:rPr>
                <w:bCs/>
                <w:i/>
                <w:color w:val="000000" w:themeColor="text1"/>
                <w:lang w:eastAsia="en-AU" w:bidi="ar-SA"/>
              </w:rPr>
            </w:pPr>
            <w:r>
              <w:rPr>
                <w:bCs/>
                <w:i/>
                <w:color w:val="000000" w:themeColor="text1"/>
                <w:lang w:eastAsia="en-AU" w:bidi="ar-SA"/>
              </w:rPr>
              <w:t>500 mg/kg</w:t>
            </w:r>
          </w:p>
        </w:tc>
        <w:tc>
          <w:tcPr>
            <w:tcW w:w="1560" w:type="dxa"/>
          </w:tcPr>
          <w:p w14:paraId="6061F143" w14:textId="5212C1AA" w:rsidR="00217D17" w:rsidRPr="00B87286" w:rsidRDefault="00927FD8" w:rsidP="00B87286">
            <w:pPr>
              <w:jc w:val="center"/>
              <w:rPr>
                <w:bCs/>
                <w:color w:val="000000" w:themeColor="text1"/>
                <w:lang w:eastAsia="en-AU" w:bidi="ar-SA"/>
              </w:rPr>
            </w:pPr>
            <w:r>
              <w:rPr>
                <w:bCs/>
                <w:color w:val="000000" w:themeColor="text1"/>
                <w:lang w:eastAsia="en-AU" w:bidi="ar-SA"/>
              </w:rPr>
              <w:t xml:space="preserve">6.9 </w:t>
            </w:r>
            <w:r>
              <w:rPr>
                <w:rFonts w:cs="Arial"/>
                <w:bCs/>
                <w:color w:val="000000" w:themeColor="text1"/>
                <w:lang w:eastAsia="en-AU" w:bidi="ar-SA"/>
              </w:rPr>
              <w:t>±</w:t>
            </w:r>
            <w:r>
              <w:rPr>
                <w:bCs/>
                <w:color w:val="000000" w:themeColor="text1"/>
                <w:lang w:eastAsia="en-AU" w:bidi="ar-SA"/>
              </w:rPr>
              <w:t xml:space="preserve"> 0.40</w:t>
            </w:r>
          </w:p>
        </w:tc>
        <w:tc>
          <w:tcPr>
            <w:tcW w:w="1559" w:type="dxa"/>
          </w:tcPr>
          <w:p w14:paraId="28718603" w14:textId="12BCF21E" w:rsidR="00217D17" w:rsidRPr="00B87286" w:rsidRDefault="0030016F" w:rsidP="00B87286">
            <w:pPr>
              <w:jc w:val="center"/>
              <w:rPr>
                <w:bCs/>
                <w:color w:val="000000" w:themeColor="text1"/>
                <w:lang w:eastAsia="en-AU" w:bidi="ar-SA"/>
              </w:rPr>
            </w:pPr>
            <w:r>
              <w:rPr>
                <w:bCs/>
                <w:color w:val="000000" w:themeColor="text1"/>
                <w:lang w:eastAsia="en-AU" w:bidi="ar-SA"/>
              </w:rPr>
              <w:t xml:space="preserve">9.8 </w:t>
            </w:r>
            <w:r>
              <w:rPr>
                <w:rFonts w:cs="Arial"/>
                <w:bCs/>
                <w:color w:val="000000" w:themeColor="text1"/>
                <w:lang w:eastAsia="en-AU" w:bidi="ar-SA"/>
              </w:rPr>
              <w:t>±</w:t>
            </w:r>
            <w:r>
              <w:rPr>
                <w:bCs/>
                <w:color w:val="000000" w:themeColor="text1"/>
                <w:lang w:eastAsia="en-AU" w:bidi="ar-SA"/>
              </w:rPr>
              <w:t xml:space="preserve"> 0.23</w:t>
            </w:r>
          </w:p>
        </w:tc>
        <w:tc>
          <w:tcPr>
            <w:tcW w:w="2168" w:type="dxa"/>
          </w:tcPr>
          <w:p w14:paraId="262EDF6F" w14:textId="6CD8BB73" w:rsidR="00217D17" w:rsidRPr="00B87286" w:rsidRDefault="0074223A" w:rsidP="00B87286">
            <w:pPr>
              <w:jc w:val="center"/>
              <w:rPr>
                <w:bCs/>
                <w:color w:val="000000" w:themeColor="text1"/>
                <w:lang w:eastAsia="en-AU" w:bidi="ar-SA"/>
              </w:rPr>
            </w:pPr>
            <w:r w:rsidRPr="00B87286">
              <w:rPr>
                <w:bCs/>
                <w:color w:val="000000" w:themeColor="text1"/>
                <w:lang w:eastAsia="en-AU" w:bidi="ar-SA"/>
              </w:rPr>
              <w:t xml:space="preserve">2.8 </w:t>
            </w:r>
            <w:r w:rsidRPr="00B87286">
              <w:rPr>
                <w:rFonts w:cs="Arial"/>
                <w:bCs/>
                <w:color w:val="000000" w:themeColor="text1"/>
                <w:lang w:eastAsia="en-AU" w:bidi="ar-SA"/>
              </w:rPr>
              <w:t>± 0.54</w:t>
            </w:r>
          </w:p>
        </w:tc>
        <w:tc>
          <w:tcPr>
            <w:tcW w:w="1510" w:type="dxa"/>
          </w:tcPr>
          <w:p w14:paraId="6F3E5D98" w14:textId="61B6FB3C" w:rsidR="00217D17" w:rsidRPr="00B87286" w:rsidRDefault="005F66C2" w:rsidP="00B87286">
            <w:pPr>
              <w:jc w:val="center"/>
              <w:rPr>
                <w:bCs/>
                <w:color w:val="000000" w:themeColor="text1"/>
                <w:lang w:eastAsia="en-AU" w:bidi="ar-SA"/>
              </w:rPr>
            </w:pPr>
            <w:r>
              <w:rPr>
                <w:bCs/>
                <w:color w:val="000000" w:themeColor="text1"/>
                <w:lang w:eastAsia="en-AU" w:bidi="ar-SA"/>
              </w:rPr>
              <w:t>82%</w:t>
            </w:r>
          </w:p>
        </w:tc>
      </w:tr>
      <w:tr w:rsidR="00217D17" w14:paraId="3ED588B9" w14:textId="77777777" w:rsidTr="00B87286">
        <w:tc>
          <w:tcPr>
            <w:tcW w:w="988" w:type="dxa"/>
            <w:vMerge/>
          </w:tcPr>
          <w:p w14:paraId="08E517FD" w14:textId="77777777" w:rsidR="00217D17" w:rsidRDefault="00217D17" w:rsidP="00FF4BC6">
            <w:pPr>
              <w:rPr>
                <w:bCs/>
                <w:i/>
                <w:color w:val="000000" w:themeColor="text1"/>
                <w:lang w:eastAsia="en-AU" w:bidi="ar-SA"/>
              </w:rPr>
            </w:pPr>
          </w:p>
        </w:tc>
        <w:tc>
          <w:tcPr>
            <w:tcW w:w="1275" w:type="dxa"/>
          </w:tcPr>
          <w:p w14:paraId="57D5EC52" w14:textId="0EDA5BD5" w:rsidR="00217D17" w:rsidRDefault="008168A2" w:rsidP="00FF4BC6">
            <w:pPr>
              <w:rPr>
                <w:bCs/>
                <w:i/>
                <w:color w:val="000000" w:themeColor="text1"/>
                <w:lang w:eastAsia="en-AU" w:bidi="ar-SA"/>
              </w:rPr>
            </w:pPr>
            <w:r>
              <w:rPr>
                <w:bCs/>
                <w:i/>
                <w:color w:val="000000" w:themeColor="text1"/>
                <w:lang w:eastAsia="en-AU" w:bidi="ar-SA"/>
              </w:rPr>
              <w:t>1000 mg</w:t>
            </w:r>
          </w:p>
        </w:tc>
        <w:tc>
          <w:tcPr>
            <w:tcW w:w="1560" w:type="dxa"/>
          </w:tcPr>
          <w:p w14:paraId="44D7F475" w14:textId="146C32DF" w:rsidR="00217D17" w:rsidRPr="00B87286" w:rsidRDefault="00927FD8" w:rsidP="00B87286">
            <w:pPr>
              <w:jc w:val="center"/>
              <w:rPr>
                <w:bCs/>
                <w:color w:val="000000" w:themeColor="text1"/>
                <w:lang w:eastAsia="en-AU" w:bidi="ar-SA"/>
              </w:rPr>
            </w:pPr>
            <w:r>
              <w:rPr>
                <w:bCs/>
                <w:color w:val="000000" w:themeColor="text1"/>
                <w:lang w:eastAsia="en-AU" w:bidi="ar-SA"/>
              </w:rPr>
              <w:t xml:space="preserve">7.1 </w:t>
            </w:r>
            <w:r>
              <w:rPr>
                <w:rFonts w:cs="Arial"/>
                <w:bCs/>
                <w:color w:val="000000" w:themeColor="text1"/>
                <w:lang w:eastAsia="en-AU" w:bidi="ar-SA"/>
              </w:rPr>
              <w:t>±</w:t>
            </w:r>
            <w:r>
              <w:rPr>
                <w:bCs/>
                <w:color w:val="000000" w:themeColor="text1"/>
                <w:lang w:eastAsia="en-AU" w:bidi="ar-SA"/>
              </w:rPr>
              <w:t xml:space="preserve"> 0.56</w:t>
            </w:r>
          </w:p>
        </w:tc>
        <w:tc>
          <w:tcPr>
            <w:tcW w:w="1559" w:type="dxa"/>
          </w:tcPr>
          <w:p w14:paraId="2BCA1136" w14:textId="7B8C9EC8" w:rsidR="00217D17" w:rsidRPr="00B87286" w:rsidRDefault="0030016F" w:rsidP="00B87286">
            <w:pPr>
              <w:jc w:val="center"/>
              <w:rPr>
                <w:bCs/>
                <w:color w:val="000000" w:themeColor="text1"/>
                <w:lang w:eastAsia="en-AU" w:bidi="ar-SA"/>
              </w:rPr>
            </w:pPr>
            <w:r>
              <w:rPr>
                <w:bCs/>
                <w:color w:val="000000" w:themeColor="text1"/>
                <w:lang w:eastAsia="en-AU" w:bidi="ar-SA"/>
              </w:rPr>
              <w:t xml:space="preserve">9.3 </w:t>
            </w:r>
            <w:r>
              <w:rPr>
                <w:rFonts w:cs="Arial"/>
                <w:bCs/>
                <w:color w:val="000000" w:themeColor="text1"/>
                <w:lang w:eastAsia="en-AU" w:bidi="ar-SA"/>
              </w:rPr>
              <w:t>±</w:t>
            </w:r>
            <w:r>
              <w:rPr>
                <w:bCs/>
                <w:color w:val="000000" w:themeColor="text1"/>
                <w:lang w:eastAsia="en-AU" w:bidi="ar-SA"/>
              </w:rPr>
              <w:t xml:space="preserve"> 0.79</w:t>
            </w:r>
          </w:p>
        </w:tc>
        <w:tc>
          <w:tcPr>
            <w:tcW w:w="2168" w:type="dxa"/>
          </w:tcPr>
          <w:p w14:paraId="0202FCE4" w14:textId="17473718" w:rsidR="00217D17" w:rsidRPr="00B87286" w:rsidRDefault="0074223A" w:rsidP="00B87286">
            <w:pPr>
              <w:jc w:val="center"/>
              <w:rPr>
                <w:bCs/>
                <w:color w:val="000000" w:themeColor="text1"/>
                <w:lang w:eastAsia="en-AU" w:bidi="ar-SA"/>
              </w:rPr>
            </w:pPr>
            <w:r w:rsidRPr="00B87286">
              <w:rPr>
                <w:bCs/>
                <w:color w:val="000000" w:themeColor="text1"/>
                <w:lang w:eastAsia="en-AU" w:bidi="ar-SA"/>
              </w:rPr>
              <w:t xml:space="preserve">2.2 </w:t>
            </w:r>
            <w:r w:rsidRPr="00B87286">
              <w:rPr>
                <w:rFonts w:cs="Arial"/>
                <w:bCs/>
                <w:color w:val="000000" w:themeColor="text1"/>
                <w:lang w:eastAsia="en-AU" w:bidi="ar-SA"/>
              </w:rPr>
              <w:t>±</w:t>
            </w:r>
            <w:r w:rsidRPr="00B87286">
              <w:rPr>
                <w:bCs/>
                <w:color w:val="000000" w:themeColor="text1"/>
                <w:lang w:eastAsia="en-AU" w:bidi="ar-SA"/>
              </w:rPr>
              <w:t>0.53</w:t>
            </w:r>
          </w:p>
        </w:tc>
        <w:tc>
          <w:tcPr>
            <w:tcW w:w="1510" w:type="dxa"/>
          </w:tcPr>
          <w:p w14:paraId="47AC7A1D" w14:textId="0C97F19F" w:rsidR="00217D17" w:rsidRPr="00B87286" w:rsidRDefault="005F66C2" w:rsidP="00B87286">
            <w:pPr>
              <w:jc w:val="center"/>
              <w:rPr>
                <w:bCs/>
                <w:color w:val="000000" w:themeColor="text1"/>
                <w:lang w:eastAsia="en-AU" w:bidi="ar-SA"/>
              </w:rPr>
            </w:pPr>
            <w:r>
              <w:rPr>
                <w:bCs/>
                <w:color w:val="000000" w:themeColor="text1"/>
                <w:lang w:eastAsia="en-AU" w:bidi="ar-SA"/>
              </w:rPr>
              <w:t>65%</w:t>
            </w:r>
          </w:p>
        </w:tc>
      </w:tr>
      <w:tr w:rsidR="008168A2" w14:paraId="02500056" w14:textId="77777777" w:rsidTr="00B87286">
        <w:tc>
          <w:tcPr>
            <w:tcW w:w="988" w:type="dxa"/>
            <w:vMerge w:val="restart"/>
          </w:tcPr>
          <w:p w14:paraId="20EAF80D" w14:textId="54D48F8D" w:rsidR="008168A2" w:rsidRDefault="008168A2" w:rsidP="008168A2">
            <w:pPr>
              <w:rPr>
                <w:bCs/>
                <w:i/>
                <w:color w:val="000000" w:themeColor="text1"/>
                <w:lang w:eastAsia="en-AU" w:bidi="ar-SA"/>
              </w:rPr>
            </w:pPr>
            <w:r>
              <w:rPr>
                <w:bCs/>
                <w:i/>
                <w:color w:val="000000" w:themeColor="text1"/>
                <w:lang w:eastAsia="en-AU" w:bidi="ar-SA"/>
              </w:rPr>
              <w:t>Female</w:t>
            </w:r>
          </w:p>
        </w:tc>
        <w:tc>
          <w:tcPr>
            <w:tcW w:w="1275" w:type="dxa"/>
          </w:tcPr>
          <w:p w14:paraId="713AD234" w14:textId="5FF7E402" w:rsidR="008168A2" w:rsidRDefault="008168A2" w:rsidP="008168A2">
            <w:pPr>
              <w:rPr>
                <w:bCs/>
                <w:i/>
                <w:color w:val="000000" w:themeColor="text1"/>
                <w:lang w:eastAsia="en-AU" w:bidi="ar-SA"/>
              </w:rPr>
            </w:pPr>
            <w:r>
              <w:rPr>
                <w:bCs/>
                <w:i/>
                <w:color w:val="000000" w:themeColor="text1"/>
                <w:lang w:eastAsia="en-AU" w:bidi="ar-SA"/>
              </w:rPr>
              <w:t>Control</w:t>
            </w:r>
          </w:p>
        </w:tc>
        <w:tc>
          <w:tcPr>
            <w:tcW w:w="1560" w:type="dxa"/>
          </w:tcPr>
          <w:p w14:paraId="789EF9AB" w14:textId="3E8E5117" w:rsidR="008168A2" w:rsidRPr="00B87286" w:rsidRDefault="00927FD8" w:rsidP="00B87286">
            <w:pPr>
              <w:jc w:val="center"/>
              <w:rPr>
                <w:bCs/>
                <w:color w:val="000000" w:themeColor="text1"/>
                <w:lang w:eastAsia="en-AU" w:bidi="ar-SA"/>
              </w:rPr>
            </w:pPr>
            <w:r>
              <w:rPr>
                <w:bCs/>
                <w:color w:val="000000" w:themeColor="text1"/>
                <w:lang w:eastAsia="en-AU" w:bidi="ar-SA"/>
              </w:rPr>
              <w:t xml:space="preserve">6.1 </w:t>
            </w:r>
            <w:r>
              <w:rPr>
                <w:rFonts w:cs="Arial"/>
                <w:bCs/>
                <w:color w:val="000000" w:themeColor="text1"/>
                <w:lang w:eastAsia="en-AU" w:bidi="ar-SA"/>
              </w:rPr>
              <w:t>±</w:t>
            </w:r>
            <w:r>
              <w:rPr>
                <w:bCs/>
                <w:color w:val="000000" w:themeColor="text1"/>
                <w:lang w:eastAsia="en-AU" w:bidi="ar-SA"/>
              </w:rPr>
              <w:t xml:space="preserve"> 0.62</w:t>
            </w:r>
          </w:p>
        </w:tc>
        <w:tc>
          <w:tcPr>
            <w:tcW w:w="1559" w:type="dxa"/>
          </w:tcPr>
          <w:p w14:paraId="05DCFACD" w14:textId="14A968C5" w:rsidR="008168A2" w:rsidRPr="00B87286" w:rsidRDefault="0030016F" w:rsidP="00B87286">
            <w:pPr>
              <w:jc w:val="center"/>
              <w:rPr>
                <w:bCs/>
                <w:color w:val="000000" w:themeColor="text1"/>
                <w:lang w:eastAsia="en-AU" w:bidi="ar-SA"/>
              </w:rPr>
            </w:pPr>
            <w:r>
              <w:rPr>
                <w:bCs/>
                <w:color w:val="000000" w:themeColor="text1"/>
                <w:lang w:eastAsia="en-AU" w:bidi="ar-SA"/>
              </w:rPr>
              <w:t xml:space="preserve">8.5 </w:t>
            </w:r>
            <w:r>
              <w:rPr>
                <w:rFonts w:cs="Arial"/>
                <w:bCs/>
                <w:color w:val="000000" w:themeColor="text1"/>
                <w:lang w:eastAsia="en-AU" w:bidi="ar-SA"/>
              </w:rPr>
              <w:t>±</w:t>
            </w:r>
            <w:r>
              <w:rPr>
                <w:bCs/>
                <w:color w:val="000000" w:themeColor="text1"/>
                <w:lang w:eastAsia="en-AU" w:bidi="ar-SA"/>
              </w:rPr>
              <w:t xml:space="preserve"> 0.49</w:t>
            </w:r>
          </w:p>
        </w:tc>
        <w:tc>
          <w:tcPr>
            <w:tcW w:w="2168" w:type="dxa"/>
          </w:tcPr>
          <w:p w14:paraId="098E50AF" w14:textId="178EEA6C" w:rsidR="008168A2" w:rsidRPr="00B87286" w:rsidRDefault="0074223A" w:rsidP="00B87286">
            <w:pPr>
              <w:jc w:val="center"/>
              <w:rPr>
                <w:bCs/>
                <w:color w:val="000000" w:themeColor="text1"/>
                <w:lang w:eastAsia="en-AU" w:bidi="ar-SA"/>
              </w:rPr>
            </w:pPr>
            <w:r w:rsidRPr="00B87286">
              <w:rPr>
                <w:bCs/>
                <w:color w:val="000000" w:themeColor="text1"/>
                <w:lang w:eastAsia="en-AU" w:bidi="ar-SA"/>
              </w:rPr>
              <w:t xml:space="preserve">2.4 </w:t>
            </w:r>
            <w:r w:rsidRPr="00B87286">
              <w:rPr>
                <w:rFonts w:cs="Arial"/>
                <w:bCs/>
                <w:color w:val="000000" w:themeColor="text1"/>
                <w:lang w:eastAsia="en-AU" w:bidi="ar-SA"/>
              </w:rPr>
              <w:t>±</w:t>
            </w:r>
            <w:r w:rsidRPr="00B87286">
              <w:rPr>
                <w:bCs/>
                <w:color w:val="000000" w:themeColor="text1"/>
                <w:lang w:eastAsia="en-AU" w:bidi="ar-SA"/>
              </w:rPr>
              <w:t xml:space="preserve"> 0.23</w:t>
            </w:r>
          </w:p>
        </w:tc>
        <w:tc>
          <w:tcPr>
            <w:tcW w:w="1510" w:type="dxa"/>
          </w:tcPr>
          <w:p w14:paraId="33BA049E" w14:textId="64613E82" w:rsidR="008168A2" w:rsidRPr="00B87286" w:rsidRDefault="008168A2" w:rsidP="00B87286">
            <w:pPr>
              <w:jc w:val="center"/>
              <w:rPr>
                <w:bCs/>
                <w:color w:val="000000" w:themeColor="text1"/>
                <w:lang w:eastAsia="en-AU" w:bidi="ar-SA"/>
              </w:rPr>
            </w:pPr>
            <w:r w:rsidRPr="00B87286">
              <w:rPr>
                <w:bCs/>
                <w:color w:val="000000" w:themeColor="text1"/>
                <w:lang w:eastAsia="en-AU" w:bidi="ar-SA"/>
              </w:rPr>
              <w:t>-</w:t>
            </w:r>
          </w:p>
        </w:tc>
      </w:tr>
      <w:tr w:rsidR="008168A2" w14:paraId="7F93D175" w14:textId="77777777" w:rsidTr="00B87286">
        <w:tc>
          <w:tcPr>
            <w:tcW w:w="988" w:type="dxa"/>
            <w:vMerge/>
          </w:tcPr>
          <w:p w14:paraId="52299C09" w14:textId="77777777" w:rsidR="008168A2" w:rsidRDefault="008168A2" w:rsidP="008168A2">
            <w:pPr>
              <w:rPr>
                <w:bCs/>
                <w:i/>
                <w:color w:val="000000" w:themeColor="text1"/>
                <w:lang w:eastAsia="en-AU" w:bidi="ar-SA"/>
              </w:rPr>
            </w:pPr>
          </w:p>
        </w:tc>
        <w:tc>
          <w:tcPr>
            <w:tcW w:w="1275" w:type="dxa"/>
          </w:tcPr>
          <w:p w14:paraId="2153F957" w14:textId="43F30428" w:rsidR="008168A2" w:rsidRDefault="008168A2" w:rsidP="008168A2">
            <w:pPr>
              <w:rPr>
                <w:bCs/>
                <w:i/>
                <w:color w:val="000000" w:themeColor="text1"/>
                <w:lang w:eastAsia="en-AU" w:bidi="ar-SA"/>
              </w:rPr>
            </w:pPr>
            <w:r>
              <w:rPr>
                <w:bCs/>
                <w:i/>
                <w:color w:val="000000" w:themeColor="text1"/>
                <w:lang w:eastAsia="en-AU" w:bidi="ar-SA"/>
              </w:rPr>
              <w:t>150 mg/kg</w:t>
            </w:r>
          </w:p>
        </w:tc>
        <w:tc>
          <w:tcPr>
            <w:tcW w:w="1560" w:type="dxa"/>
          </w:tcPr>
          <w:p w14:paraId="2D913096" w14:textId="6E76A669" w:rsidR="008168A2" w:rsidRPr="00B87286" w:rsidRDefault="00927FD8" w:rsidP="00B87286">
            <w:pPr>
              <w:jc w:val="center"/>
              <w:rPr>
                <w:bCs/>
                <w:color w:val="000000" w:themeColor="text1"/>
                <w:lang w:eastAsia="en-AU" w:bidi="ar-SA"/>
              </w:rPr>
            </w:pPr>
            <w:r>
              <w:rPr>
                <w:bCs/>
                <w:color w:val="000000" w:themeColor="text1"/>
                <w:lang w:eastAsia="en-AU" w:bidi="ar-SA"/>
              </w:rPr>
              <w:t xml:space="preserve">6.3 </w:t>
            </w:r>
            <w:r>
              <w:rPr>
                <w:rFonts w:cs="Arial"/>
                <w:bCs/>
                <w:color w:val="000000" w:themeColor="text1"/>
                <w:lang w:eastAsia="en-AU" w:bidi="ar-SA"/>
              </w:rPr>
              <w:t>±</w:t>
            </w:r>
            <w:r>
              <w:rPr>
                <w:bCs/>
                <w:color w:val="000000" w:themeColor="text1"/>
                <w:lang w:eastAsia="en-AU" w:bidi="ar-SA"/>
              </w:rPr>
              <w:t xml:space="preserve"> 0.69</w:t>
            </w:r>
          </w:p>
        </w:tc>
        <w:tc>
          <w:tcPr>
            <w:tcW w:w="1559" w:type="dxa"/>
          </w:tcPr>
          <w:p w14:paraId="3601A3E3" w14:textId="5117E000" w:rsidR="008168A2" w:rsidRPr="00B87286" w:rsidRDefault="0030016F" w:rsidP="00B87286">
            <w:pPr>
              <w:jc w:val="center"/>
              <w:rPr>
                <w:bCs/>
                <w:color w:val="000000" w:themeColor="text1"/>
                <w:lang w:eastAsia="en-AU" w:bidi="ar-SA"/>
              </w:rPr>
            </w:pPr>
            <w:r>
              <w:rPr>
                <w:bCs/>
                <w:color w:val="000000" w:themeColor="text1"/>
                <w:lang w:eastAsia="en-AU" w:bidi="ar-SA"/>
              </w:rPr>
              <w:t xml:space="preserve">8.4 </w:t>
            </w:r>
            <w:r>
              <w:rPr>
                <w:rFonts w:cs="Arial"/>
                <w:bCs/>
                <w:color w:val="000000" w:themeColor="text1"/>
                <w:lang w:eastAsia="en-AU" w:bidi="ar-SA"/>
              </w:rPr>
              <w:t>±</w:t>
            </w:r>
            <w:r>
              <w:rPr>
                <w:bCs/>
                <w:color w:val="000000" w:themeColor="text1"/>
                <w:lang w:eastAsia="en-AU" w:bidi="ar-SA"/>
              </w:rPr>
              <w:t xml:space="preserve"> 0.92</w:t>
            </w:r>
          </w:p>
        </w:tc>
        <w:tc>
          <w:tcPr>
            <w:tcW w:w="2168" w:type="dxa"/>
          </w:tcPr>
          <w:p w14:paraId="77F91A8C" w14:textId="52F5B21D" w:rsidR="008168A2" w:rsidRPr="00B87286" w:rsidRDefault="0074223A" w:rsidP="00B87286">
            <w:pPr>
              <w:jc w:val="center"/>
              <w:rPr>
                <w:bCs/>
                <w:color w:val="000000" w:themeColor="text1"/>
                <w:lang w:eastAsia="en-AU" w:bidi="ar-SA"/>
              </w:rPr>
            </w:pPr>
            <w:r w:rsidRPr="00B87286">
              <w:rPr>
                <w:bCs/>
                <w:color w:val="000000" w:themeColor="text1"/>
                <w:lang w:eastAsia="en-AU" w:bidi="ar-SA"/>
              </w:rPr>
              <w:t xml:space="preserve">2.1 </w:t>
            </w:r>
            <w:r w:rsidRPr="00B87286">
              <w:rPr>
                <w:rFonts w:cs="Arial"/>
                <w:bCs/>
                <w:color w:val="000000" w:themeColor="text1"/>
                <w:lang w:eastAsia="en-AU" w:bidi="ar-SA"/>
              </w:rPr>
              <w:t>±</w:t>
            </w:r>
            <w:r w:rsidRPr="00B87286">
              <w:rPr>
                <w:bCs/>
                <w:color w:val="000000" w:themeColor="text1"/>
                <w:lang w:eastAsia="en-AU" w:bidi="ar-SA"/>
              </w:rPr>
              <w:t xml:space="preserve"> 0.24</w:t>
            </w:r>
          </w:p>
        </w:tc>
        <w:tc>
          <w:tcPr>
            <w:tcW w:w="1510" w:type="dxa"/>
          </w:tcPr>
          <w:p w14:paraId="2A7C59F5" w14:textId="016EBD3A" w:rsidR="008168A2" w:rsidRPr="00B87286" w:rsidRDefault="005F66C2" w:rsidP="00B87286">
            <w:pPr>
              <w:jc w:val="center"/>
              <w:rPr>
                <w:bCs/>
                <w:color w:val="000000" w:themeColor="text1"/>
                <w:lang w:eastAsia="en-AU" w:bidi="ar-SA"/>
              </w:rPr>
            </w:pPr>
            <w:r>
              <w:rPr>
                <w:bCs/>
                <w:color w:val="000000" w:themeColor="text1"/>
                <w:lang w:eastAsia="en-AU" w:bidi="ar-SA"/>
              </w:rPr>
              <w:t>88%</w:t>
            </w:r>
          </w:p>
        </w:tc>
      </w:tr>
      <w:tr w:rsidR="008168A2" w14:paraId="376AFBBF" w14:textId="77777777" w:rsidTr="00B87286">
        <w:tc>
          <w:tcPr>
            <w:tcW w:w="988" w:type="dxa"/>
            <w:vMerge/>
          </w:tcPr>
          <w:p w14:paraId="64D78451" w14:textId="77777777" w:rsidR="008168A2" w:rsidRDefault="008168A2" w:rsidP="008168A2">
            <w:pPr>
              <w:rPr>
                <w:bCs/>
                <w:i/>
                <w:color w:val="000000" w:themeColor="text1"/>
                <w:lang w:eastAsia="en-AU" w:bidi="ar-SA"/>
              </w:rPr>
            </w:pPr>
          </w:p>
        </w:tc>
        <w:tc>
          <w:tcPr>
            <w:tcW w:w="1275" w:type="dxa"/>
          </w:tcPr>
          <w:p w14:paraId="3AFBF95C" w14:textId="5CF34DCB" w:rsidR="008168A2" w:rsidRDefault="008168A2" w:rsidP="008168A2">
            <w:pPr>
              <w:rPr>
                <w:bCs/>
                <w:i/>
                <w:color w:val="000000" w:themeColor="text1"/>
                <w:lang w:eastAsia="en-AU" w:bidi="ar-SA"/>
              </w:rPr>
            </w:pPr>
            <w:r>
              <w:rPr>
                <w:bCs/>
                <w:i/>
                <w:color w:val="000000" w:themeColor="text1"/>
                <w:lang w:eastAsia="en-AU" w:bidi="ar-SA"/>
              </w:rPr>
              <w:t>500 mg/kg</w:t>
            </w:r>
          </w:p>
        </w:tc>
        <w:tc>
          <w:tcPr>
            <w:tcW w:w="1560" w:type="dxa"/>
          </w:tcPr>
          <w:p w14:paraId="6F9A0168" w14:textId="27154564" w:rsidR="008168A2" w:rsidRPr="00B87286" w:rsidRDefault="00927FD8" w:rsidP="00B87286">
            <w:pPr>
              <w:jc w:val="center"/>
              <w:rPr>
                <w:bCs/>
                <w:color w:val="000000" w:themeColor="text1"/>
                <w:lang w:eastAsia="en-AU" w:bidi="ar-SA"/>
              </w:rPr>
            </w:pPr>
            <w:r>
              <w:rPr>
                <w:bCs/>
                <w:color w:val="000000" w:themeColor="text1"/>
                <w:lang w:eastAsia="en-AU" w:bidi="ar-SA"/>
              </w:rPr>
              <w:t xml:space="preserve">6.1 </w:t>
            </w:r>
            <w:r>
              <w:rPr>
                <w:rFonts w:cs="Arial"/>
                <w:bCs/>
                <w:color w:val="000000" w:themeColor="text1"/>
                <w:lang w:eastAsia="en-AU" w:bidi="ar-SA"/>
              </w:rPr>
              <w:t>±</w:t>
            </w:r>
            <w:r>
              <w:rPr>
                <w:bCs/>
                <w:color w:val="000000" w:themeColor="text1"/>
                <w:lang w:eastAsia="en-AU" w:bidi="ar-SA"/>
              </w:rPr>
              <w:t xml:space="preserve"> 0.77</w:t>
            </w:r>
          </w:p>
        </w:tc>
        <w:tc>
          <w:tcPr>
            <w:tcW w:w="1559" w:type="dxa"/>
          </w:tcPr>
          <w:p w14:paraId="0234DB76" w14:textId="1F53FFC8" w:rsidR="008168A2" w:rsidRPr="00B87286" w:rsidRDefault="0030016F" w:rsidP="00B87286">
            <w:pPr>
              <w:jc w:val="center"/>
              <w:rPr>
                <w:bCs/>
                <w:color w:val="000000" w:themeColor="text1"/>
                <w:lang w:eastAsia="en-AU" w:bidi="ar-SA"/>
              </w:rPr>
            </w:pPr>
            <w:r>
              <w:rPr>
                <w:bCs/>
                <w:color w:val="000000" w:themeColor="text1"/>
                <w:lang w:eastAsia="en-AU" w:bidi="ar-SA"/>
              </w:rPr>
              <w:t xml:space="preserve">8.6 </w:t>
            </w:r>
            <w:r>
              <w:rPr>
                <w:rFonts w:cs="Arial"/>
                <w:bCs/>
                <w:color w:val="000000" w:themeColor="text1"/>
                <w:lang w:eastAsia="en-AU" w:bidi="ar-SA"/>
              </w:rPr>
              <w:t>±</w:t>
            </w:r>
            <w:r>
              <w:rPr>
                <w:bCs/>
                <w:color w:val="000000" w:themeColor="text1"/>
                <w:lang w:eastAsia="en-AU" w:bidi="ar-SA"/>
              </w:rPr>
              <w:t xml:space="preserve"> 1.06</w:t>
            </w:r>
          </w:p>
        </w:tc>
        <w:tc>
          <w:tcPr>
            <w:tcW w:w="2168" w:type="dxa"/>
          </w:tcPr>
          <w:p w14:paraId="40D3E7E7" w14:textId="4B025C9C" w:rsidR="008168A2" w:rsidRPr="00B87286" w:rsidRDefault="0074223A" w:rsidP="00B87286">
            <w:pPr>
              <w:jc w:val="center"/>
              <w:rPr>
                <w:bCs/>
                <w:color w:val="000000" w:themeColor="text1"/>
                <w:lang w:eastAsia="en-AU" w:bidi="ar-SA"/>
              </w:rPr>
            </w:pPr>
            <w:r w:rsidRPr="00B87286">
              <w:rPr>
                <w:bCs/>
                <w:color w:val="000000" w:themeColor="text1"/>
                <w:lang w:eastAsia="en-AU" w:bidi="ar-SA"/>
              </w:rPr>
              <w:t xml:space="preserve">2.4 </w:t>
            </w:r>
            <w:r w:rsidRPr="00B87286">
              <w:rPr>
                <w:rFonts w:cs="Arial"/>
                <w:bCs/>
                <w:color w:val="000000" w:themeColor="text1"/>
                <w:lang w:eastAsia="en-AU" w:bidi="ar-SA"/>
              </w:rPr>
              <w:t>±</w:t>
            </w:r>
            <w:r w:rsidRPr="00B87286">
              <w:rPr>
                <w:bCs/>
                <w:color w:val="000000" w:themeColor="text1"/>
                <w:lang w:eastAsia="en-AU" w:bidi="ar-SA"/>
              </w:rPr>
              <w:t xml:space="preserve"> 0.41</w:t>
            </w:r>
          </w:p>
        </w:tc>
        <w:tc>
          <w:tcPr>
            <w:tcW w:w="1510" w:type="dxa"/>
          </w:tcPr>
          <w:p w14:paraId="1C745EF1" w14:textId="3C6A1D8B" w:rsidR="008168A2" w:rsidRPr="00B87286" w:rsidRDefault="005F66C2" w:rsidP="00B87286">
            <w:pPr>
              <w:jc w:val="center"/>
              <w:rPr>
                <w:bCs/>
                <w:color w:val="000000" w:themeColor="text1"/>
                <w:lang w:eastAsia="en-AU" w:bidi="ar-SA"/>
              </w:rPr>
            </w:pPr>
            <w:r>
              <w:rPr>
                <w:bCs/>
                <w:color w:val="000000" w:themeColor="text1"/>
                <w:lang w:eastAsia="en-AU" w:bidi="ar-SA"/>
              </w:rPr>
              <w:t>100%</w:t>
            </w:r>
          </w:p>
        </w:tc>
      </w:tr>
      <w:tr w:rsidR="008168A2" w14:paraId="034D2824" w14:textId="77777777" w:rsidTr="00B87286">
        <w:tc>
          <w:tcPr>
            <w:tcW w:w="988" w:type="dxa"/>
            <w:vMerge/>
          </w:tcPr>
          <w:p w14:paraId="1E48B112" w14:textId="77777777" w:rsidR="008168A2" w:rsidRDefault="008168A2" w:rsidP="008168A2">
            <w:pPr>
              <w:rPr>
                <w:bCs/>
                <w:i/>
                <w:color w:val="000000" w:themeColor="text1"/>
                <w:lang w:eastAsia="en-AU" w:bidi="ar-SA"/>
              </w:rPr>
            </w:pPr>
          </w:p>
        </w:tc>
        <w:tc>
          <w:tcPr>
            <w:tcW w:w="1275" w:type="dxa"/>
          </w:tcPr>
          <w:p w14:paraId="65BDBB7B" w14:textId="7CFC47B9" w:rsidR="008168A2" w:rsidRDefault="008168A2" w:rsidP="008168A2">
            <w:pPr>
              <w:rPr>
                <w:bCs/>
                <w:i/>
                <w:color w:val="000000" w:themeColor="text1"/>
                <w:lang w:eastAsia="en-AU" w:bidi="ar-SA"/>
              </w:rPr>
            </w:pPr>
            <w:r>
              <w:rPr>
                <w:bCs/>
                <w:i/>
                <w:color w:val="000000" w:themeColor="text1"/>
                <w:lang w:eastAsia="en-AU" w:bidi="ar-SA"/>
              </w:rPr>
              <w:t>1000 mg</w:t>
            </w:r>
          </w:p>
        </w:tc>
        <w:tc>
          <w:tcPr>
            <w:tcW w:w="1560" w:type="dxa"/>
          </w:tcPr>
          <w:p w14:paraId="3ACE4383" w14:textId="42354E12" w:rsidR="008168A2" w:rsidRPr="00B87286" w:rsidRDefault="00927FD8" w:rsidP="00B87286">
            <w:pPr>
              <w:jc w:val="center"/>
              <w:rPr>
                <w:bCs/>
                <w:color w:val="000000" w:themeColor="text1"/>
                <w:lang w:eastAsia="en-AU" w:bidi="ar-SA"/>
              </w:rPr>
            </w:pPr>
            <w:r>
              <w:rPr>
                <w:bCs/>
                <w:color w:val="000000" w:themeColor="text1"/>
                <w:lang w:eastAsia="en-AU" w:bidi="ar-SA"/>
              </w:rPr>
              <w:t xml:space="preserve">6.3 </w:t>
            </w:r>
            <w:r>
              <w:rPr>
                <w:rFonts w:cs="Arial"/>
                <w:bCs/>
                <w:color w:val="000000" w:themeColor="text1"/>
                <w:lang w:eastAsia="en-AU" w:bidi="ar-SA"/>
              </w:rPr>
              <w:t>±</w:t>
            </w:r>
            <w:r>
              <w:rPr>
                <w:bCs/>
                <w:color w:val="000000" w:themeColor="text1"/>
                <w:lang w:eastAsia="en-AU" w:bidi="ar-SA"/>
              </w:rPr>
              <w:t xml:space="preserve"> 0.81</w:t>
            </w:r>
          </w:p>
        </w:tc>
        <w:tc>
          <w:tcPr>
            <w:tcW w:w="1559" w:type="dxa"/>
          </w:tcPr>
          <w:p w14:paraId="1600CCAA" w14:textId="670EC344" w:rsidR="008168A2" w:rsidRPr="00B87286" w:rsidRDefault="0030016F" w:rsidP="00B87286">
            <w:pPr>
              <w:jc w:val="center"/>
              <w:rPr>
                <w:bCs/>
                <w:color w:val="000000" w:themeColor="text1"/>
                <w:lang w:eastAsia="en-AU" w:bidi="ar-SA"/>
              </w:rPr>
            </w:pPr>
            <w:r>
              <w:rPr>
                <w:bCs/>
                <w:color w:val="000000" w:themeColor="text1"/>
                <w:lang w:eastAsia="en-AU" w:bidi="ar-SA"/>
              </w:rPr>
              <w:t xml:space="preserve">8.0 </w:t>
            </w:r>
            <w:r>
              <w:rPr>
                <w:rFonts w:cs="Arial"/>
                <w:bCs/>
                <w:color w:val="000000" w:themeColor="text1"/>
                <w:lang w:eastAsia="en-AU" w:bidi="ar-SA"/>
              </w:rPr>
              <w:t>±</w:t>
            </w:r>
            <w:r>
              <w:rPr>
                <w:bCs/>
                <w:color w:val="000000" w:themeColor="text1"/>
                <w:lang w:eastAsia="en-AU" w:bidi="ar-SA"/>
              </w:rPr>
              <w:t xml:space="preserve"> 0.70</w:t>
            </w:r>
          </w:p>
        </w:tc>
        <w:tc>
          <w:tcPr>
            <w:tcW w:w="2168" w:type="dxa"/>
          </w:tcPr>
          <w:p w14:paraId="37B84197" w14:textId="2DCC1E88" w:rsidR="008168A2" w:rsidRPr="00B87286" w:rsidRDefault="0074223A" w:rsidP="00B87286">
            <w:pPr>
              <w:jc w:val="center"/>
              <w:rPr>
                <w:bCs/>
                <w:color w:val="000000" w:themeColor="text1"/>
                <w:lang w:eastAsia="en-AU" w:bidi="ar-SA"/>
              </w:rPr>
            </w:pPr>
            <w:r w:rsidRPr="00B87286">
              <w:rPr>
                <w:bCs/>
                <w:color w:val="000000" w:themeColor="text1"/>
                <w:lang w:eastAsia="en-AU" w:bidi="ar-SA"/>
              </w:rPr>
              <w:t xml:space="preserve">1.7 </w:t>
            </w:r>
            <w:r w:rsidRPr="00B87286">
              <w:rPr>
                <w:rFonts w:cs="Arial"/>
                <w:bCs/>
                <w:color w:val="000000" w:themeColor="text1"/>
                <w:lang w:eastAsia="en-AU" w:bidi="ar-SA"/>
              </w:rPr>
              <w:t>±</w:t>
            </w:r>
            <w:r w:rsidRPr="00B87286">
              <w:rPr>
                <w:bCs/>
                <w:color w:val="000000" w:themeColor="text1"/>
                <w:lang w:eastAsia="en-AU" w:bidi="ar-SA"/>
              </w:rPr>
              <w:t xml:space="preserve"> 0.27*</w:t>
            </w:r>
          </w:p>
        </w:tc>
        <w:tc>
          <w:tcPr>
            <w:tcW w:w="1510" w:type="dxa"/>
          </w:tcPr>
          <w:p w14:paraId="32B921A9" w14:textId="26C4B337" w:rsidR="008168A2" w:rsidRPr="00B87286" w:rsidRDefault="005F66C2" w:rsidP="00B87286">
            <w:pPr>
              <w:jc w:val="center"/>
              <w:rPr>
                <w:bCs/>
                <w:color w:val="000000" w:themeColor="text1"/>
                <w:lang w:eastAsia="en-AU" w:bidi="ar-SA"/>
              </w:rPr>
            </w:pPr>
            <w:r>
              <w:rPr>
                <w:bCs/>
                <w:color w:val="000000" w:themeColor="text1"/>
                <w:lang w:eastAsia="en-AU" w:bidi="ar-SA"/>
              </w:rPr>
              <w:t>71%</w:t>
            </w:r>
          </w:p>
        </w:tc>
      </w:tr>
      <w:tr w:rsidR="0074223A" w14:paraId="69375C7B" w14:textId="77777777" w:rsidTr="00F97E66">
        <w:tc>
          <w:tcPr>
            <w:tcW w:w="9060" w:type="dxa"/>
            <w:gridSpan w:val="6"/>
          </w:tcPr>
          <w:p w14:paraId="3B87F10D" w14:textId="5102CA76" w:rsidR="0074223A" w:rsidRDefault="0074223A" w:rsidP="00B87286">
            <w:pPr>
              <w:pStyle w:val="ListParagraph"/>
              <w:rPr>
                <w:bCs/>
                <w:i/>
                <w:color w:val="000000" w:themeColor="text1"/>
                <w:lang w:eastAsia="en-AU" w:bidi="ar-SA"/>
              </w:rPr>
            </w:pPr>
            <w:r>
              <w:rPr>
                <w:lang w:eastAsia="en-AU" w:bidi="ar-SA"/>
              </w:rPr>
              <w:t>*</w:t>
            </w:r>
            <w:r w:rsidRPr="00B87286">
              <w:rPr>
                <w:sz w:val="18"/>
                <w:szCs w:val="18"/>
                <w:lang w:eastAsia="en-AU" w:bidi="ar-SA"/>
              </w:rPr>
              <w:t xml:space="preserve">statistically significant p </w:t>
            </w:r>
            <w:r w:rsidRPr="00B87286">
              <w:rPr>
                <w:rFonts w:cs="Arial"/>
                <w:sz w:val="18"/>
                <w:szCs w:val="18"/>
                <w:lang w:eastAsia="en-AU" w:bidi="ar-SA"/>
              </w:rPr>
              <w:t>≤</w:t>
            </w:r>
            <w:r w:rsidRPr="00B87286">
              <w:rPr>
                <w:sz w:val="18"/>
                <w:szCs w:val="18"/>
                <w:lang w:eastAsia="en-AU" w:bidi="ar-SA"/>
              </w:rPr>
              <w:t xml:space="preserve"> 0.05</w:t>
            </w:r>
          </w:p>
        </w:tc>
      </w:tr>
    </w:tbl>
    <w:p w14:paraId="531B6820" w14:textId="0C79C611" w:rsidR="00EB46EF" w:rsidRPr="00B87286" w:rsidRDefault="00EB46EF" w:rsidP="00FF4BC6">
      <w:pPr>
        <w:rPr>
          <w:bCs/>
          <w:i/>
          <w:color w:val="000000" w:themeColor="text1"/>
          <w:lang w:eastAsia="en-AU" w:bidi="ar-SA"/>
        </w:rPr>
      </w:pPr>
    </w:p>
    <w:p w14:paraId="5B493FC6" w14:textId="77777777" w:rsidR="00204782" w:rsidRDefault="00204782" w:rsidP="00FF4BC6">
      <w:pPr>
        <w:rPr>
          <w:bCs/>
          <w:color w:val="000000" w:themeColor="text1"/>
          <w:lang w:eastAsia="en-AU" w:bidi="ar-SA"/>
        </w:rPr>
      </w:pPr>
    </w:p>
    <w:p w14:paraId="47A7D19B" w14:textId="0649FADF" w:rsidR="0017079C" w:rsidRDefault="0017079C" w:rsidP="00FF4BC6">
      <w:pPr>
        <w:rPr>
          <w:bCs/>
          <w:color w:val="000000" w:themeColor="text1"/>
          <w:lang w:eastAsia="en-AU" w:bidi="ar-SA"/>
        </w:rPr>
      </w:pPr>
      <w:r>
        <w:rPr>
          <w:bCs/>
          <w:color w:val="000000" w:themeColor="text1"/>
          <w:lang w:eastAsia="en-AU" w:bidi="ar-SA"/>
        </w:rPr>
        <w:t>The authors concluded on the basis of these results that the NOAEL is 1000 mg/kg bw/day</w:t>
      </w:r>
      <w:r w:rsidR="000712E0">
        <w:rPr>
          <w:bCs/>
          <w:color w:val="000000" w:themeColor="text1"/>
          <w:lang w:eastAsia="en-AU" w:bidi="ar-SA"/>
        </w:rPr>
        <w:t>, on the grounds that the reduction in cumulative bodyweight gain in the 1000 mg/kg bw/day females, although treatment-related, was not adverse</w:t>
      </w:r>
      <w:r>
        <w:rPr>
          <w:bCs/>
          <w:color w:val="000000" w:themeColor="text1"/>
          <w:lang w:eastAsia="en-AU" w:bidi="ar-SA"/>
        </w:rPr>
        <w:t xml:space="preserve">. FSANZ </w:t>
      </w:r>
      <w:r w:rsidR="00C93D62">
        <w:rPr>
          <w:bCs/>
          <w:color w:val="000000" w:themeColor="text1"/>
          <w:lang w:eastAsia="en-AU" w:bidi="ar-SA"/>
        </w:rPr>
        <w:t>considers that</w:t>
      </w:r>
      <w:r>
        <w:rPr>
          <w:bCs/>
          <w:color w:val="000000" w:themeColor="text1"/>
          <w:lang w:eastAsia="en-AU" w:bidi="ar-SA"/>
        </w:rPr>
        <w:t xml:space="preserve"> the significant decrease in cumulative body weight gain is an adverse effect, and </w:t>
      </w:r>
      <w:r w:rsidR="00C93D62">
        <w:rPr>
          <w:bCs/>
          <w:color w:val="000000" w:themeColor="text1"/>
          <w:lang w:eastAsia="en-AU" w:bidi="ar-SA"/>
        </w:rPr>
        <w:t>that</w:t>
      </w:r>
      <w:r>
        <w:rPr>
          <w:bCs/>
          <w:color w:val="000000" w:themeColor="text1"/>
          <w:lang w:eastAsia="en-AU" w:bidi="ar-SA"/>
        </w:rPr>
        <w:t xml:space="preserve"> the NOAEL for this study is the intermediate dose, 500 mg/kg bw/day. </w:t>
      </w:r>
    </w:p>
    <w:p w14:paraId="2C0DB269" w14:textId="6FFF1C56" w:rsidR="00AA2C10" w:rsidRDefault="001A57F4" w:rsidP="00A9190F">
      <w:pPr>
        <w:pStyle w:val="Heading3"/>
      </w:pPr>
      <w:bookmarkStart w:id="102" w:name="_Toc43217056"/>
      <w:bookmarkStart w:id="103" w:name="_Toc44401541"/>
      <w:bookmarkStart w:id="104" w:name="_Toc45284293"/>
      <w:bookmarkStart w:id="105" w:name="_Toc46929416"/>
      <w:r>
        <w:t>4</w:t>
      </w:r>
      <w:r w:rsidR="00AA2C10" w:rsidRPr="00AA2C10">
        <w:t>.2.5 Long-term studies/carcinogenicity in animals</w:t>
      </w:r>
      <w:bookmarkEnd w:id="102"/>
      <w:bookmarkEnd w:id="103"/>
      <w:bookmarkEnd w:id="104"/>
      <w:bookmarkEnd w:id="105"/>
    </w:p>
    <w:p w14:paraId="3E1333D4" w14:textId="69BE63BF" w:rsidR="0017079C" w:rsidRPr="00F311CA" w:rsidRDefault="00F311CA" w:rsidP="00FF4BC6">
      <w:pPr>
        <w:rPr>
          <w:lang w:eastAsia="en-AU" w:bidi="ar-SA"/>
        </w:rPr>
      </w:pPr>
      <w:r w:rsidRPr="00F311CA">
        <w:rPr>
          <w:lang w:eastAsia="en-AU" w:bidi="ar-SA"/>
        </w:rPr>
        <w:t xml:space="preserve">No </w:t>
      </w:r>
      <w:r>
        <w:rPr>
          <w:lang w:eastAsia="en-AU" w:bidi="ar-SA"/>
        </w:rPr>
        <w:t xml:space="preserve">long-term toxicity/carcinogenicity studies were submitted as part of the application, or located on literature search. However such studies are not considered to be necessary because </w:t>
      </w:r>
      <w:r w:rsidR="00003B29" w:rsidRPr="00003B29">
        <w:rPr>
          <w:lang w:eastAsia="en-AU" w:bidi="ar-SA"/>
        </w:rPr>
        <w:t xml:space="preserve">jelly mushroom glycolipids </w:t>
      </w:r>
      <w:r>
        <w:rPr>
          <w:lang w:eastAsia="en-AU" w:bidi="ar-SA"/>
        </w:rPr>
        <w:t xml:space="preserve">were not found to be genotoxic </w:t>
      </w:r>
      <w:r w:rsidR="001F417C">
        <w:rPr>
          <w:lang w:eastAsia="en-AU" w:bidi="ar-SA"/>
        </w:rPr>
        <w:t>in</w:t>
      </w:r>
      <w:r>
        <w:rPr>
          <w:lang w:eastAsia="en-AU" w:bidi="ar-SA"/>
        </w:rPr>
        <w:t xml:space="preserve"> </w:t>
      </w:r>
      <w:r w:rsidRPr="001F417C">
        <w:rPr>
          <w:i/>
          <w:lang w:eastAsia="en-AU" w:bidi="ar-SA"/>
        </w:rPr>
        <w:t>in vitro</w:t>
      </w:r>
      <w:r>
        <w:rPr>
          <w:lang w:eastAsia="en-AU" w:bidi="ar-SA"/>
        </w:rPr>
        <w:t xml:space="preserve"> assays (</w:t>
      </w:r>
      <w:r w:rsidR="00FF4BC6">
        <w:rPr>
          <w:lang w:eastAsia="en-AU" w:bidi="ar-SA"/>
        </w:rPr>
        <w:t>S</w:t>
      </w:r>
      <w:r>
        <w:rPr>
          <w:lang w:eastAsia="en-AU" w:bidi="ar-SA"/>
        </w:rPr>
        <w:t xml:space="preserve">ubsection </w:t>
      </w:r>
      <w:r w:rsidR="00D85107">
        <w:rPr>
          <w:lang w:eastAsia="en-AU" w:bidi="ar-SA"/>
        </w:rPr>
        <w:t>4</w:t>
      </w:r>
      <w:r>
        <w:rPr>
          <w:lang w:eastAsia="en-AU" w:bidi="ar-SA"/>
        </w:rPr>
        <w:t xml:space="preserve">.2.6) and no preneoplastic lesions, or lesions that could lead to neoplasia by </w:t>
      </w:r>
      <w:r w:rsidR="00925402">
        <w:rPr>
          <w:lang w:eastAsia="en-AU" w:bidi="ar-SA"/>
        </w:rPr>
        <w:t xml:space="preserve">a </w:t>
      </w:r>
      <w:r>
        <w:rPr>
          <w:lang w:eastAsia="en-AU" w:bidi="ar-SA"/>
        </w:rPr>
        <w:t>non</w:t>
      </w:r>
      <w:r w:rsidR="002E71A2">
        <w:rPr>
          <w:lang w:eastAsia="en-AU" w:bidi="ar-SA"/>
        </w:rPr>
        <w:t>-</w:t>
      </w:r>
      <w:r>
        <w:rPr>
          <w:lang w:eastAsia="en-AU" w:bidi="ar-SA"/>
        </w:rPr>
        <w:t>genotoxic mechanism, were observed in the 90-day studies in rats and dogs (</w:t>
      </w:r>
      <w:r w:rsidR="00FF4BC6">
        <w:rPr>
          <w:lang w:eastAsia="en-AU" w:bidi="ar-SA"/>
        </w:rPr>
        <w:t>S</w:t>
      </w:r>
      <w:r>
        <w:rPr>
          <w:lang w:eastAsia="en-AU" w:bidi="ar-SA"/>
        </w:rPr>
        <w:t xml:space="preserve">ubsection </w:t>
      </w:r>
      <w:r w:rsidR="00D85107">
        <w:rPr>
          <w:lang w:eastAsia="en-AU" w:bidi="ar-SA"/>
        </w:rPr>
        <w:t>4</w:t>
      </w:r>
      <w:r>
        <w:rPr>
          <w:lang w:eastAsia="en-AU" w:bidi="ar-SA"/>
        </w:rPr>
        <w:t xml:space="preserve">.2.4). </w:t>
      </w:r>
    </w:p>
    <w:p w14:paraId="24821EA4" w14:textId="3DCE001B" w:rsidR="00AA2C10" w:rsidRDefault="001A57F4" w:rsidP="00A9190F">
      <w:pPr>
        <w:pStyle w:val="Heading3"/>
      </w:pPr>
      <w:bookmarkStart w:id="106" w:name="_Toc43217057"/>
      <w:bookmarkStart w:id="107" w:name="_Toc44401542"/>
      <w:bookmarkStart w:id="108" w:name="_Toc45284294"/>
      <w:bookmarkStart w:id="109" w:name="_Toc46929417"/>
      <w:r>
        <w:t>4</w:t>
      </w:r>
      <w:r w:rsidR="00AA2C10" w:rsidRPr="00AA2C10">
        <w:t>.2.6 Genotoxicity assays</w:t>
      </w:r>
      <w:bookmarkEnd w:id="106"/>
      <w:bookmarkEnd w:id="107"/>
      <w:bookmarkEnd w:id="108"/>
      <w:bookmarkEnd w:id="109"/>
    </w:p>
    <w:p w14:paraId="5CA522C4" w14:textId="31BB4CB4" w:rsidR="001F417C" w:rsidRDefault="00812695" w:rsidP="00FF4BC6">
      <w:pPr>
        <w:rPr>
          <w:lang w:eastAsia="en-AU" w:bidi="ar-SA"/>
        </w:rPr>
      </w:pPr>
      <w:r>
        <w:rPr>
          <w:lang w:eastAsia="en-AU" w:bidi="ar-SA"/>
        </w:rPr>
        <w:t>The Applicant submitted t</w:t>
      </w:r>
      <w:r w:rsidR="008D0E3F">
        <w:rPr>
          <w:lang w:eastAsia="en-AU" w:bidi="ar-SA"/>
        </w:rPr>
        <w:t xml:space="preserve">hree </w:t>
      </w:r>
      <w:r w:rsidR="00E466B5">
        <w:rPr>
          <w:lang w:eastAsia="en-AU" w:bidi="ar-SA"/>
        </w:rPr>
        <w:t xml:space="preserve">GLP-compliant genotoxicity studies </w:t>
      </w:r>
      <w:r>
        <w:rPr>
          <w:lang w:eastAsia="en-AU" w:bidi="ar-SA"/>
        </w:rPr>
        <w:t xml:space="preserve">conducted with </w:t>
      </w:r>
      <w:r w:rsidR="00003B29" w:rsidRPr="00003B29">
        <w:rPr>
          <w:lang w:eastAsia="en-AU" w:bidi="ar-SA"/>
        </w:rPr>
        <w:t>jelly mushroom glycolipids</w:t>
      </w:r>
      <w:r>
        <w:rPr>
          <w:lang w:eastAsia="en-AU" w:bidi="ar-SA"/>
        </w:rPr>
        <w:t xml:space="preserve"> as the test article.</w:t>
      </w:r>
    </w:p>
    <w:p w14:paraId="728C6EDF" w14:textId="4BB4FBC7" w:rsidR="00FF4BC6" w:rsidRDefault="00FF4BC6" w:rsidP="00FF4BC6">
      <w:pPr>
        <w:rPr>
          <w:lang w:eastAsia="en-AU" w:bidi="ar-SA"/>
        </w:rPr>
      </w:pPr>
    </w:p>
    <w:p w14:paraId="7EA23A4E" w14:textId="1C9085ED" w:rsidR="0009554A" w:rsidRPr="00FF4BC6" w:rsidRDefault="0009554A" w:rsidP="00FF4BC6">
      <w:pPr>
        <w:rPr>
          <w:i/>
          <w:lang w:eastAsia="en-AU" w:bidi="ar-SA"/>
        </w:rPr>
      </w:pPr>
      <w:r w:rsidRPr="00FF4BC6">
        <w:rPr>
          <w:i/>
          <w:lang w:eastAsia="en-AU" w:bidi="ar-SA"/>
        </w:rPr>
        <w:t xml:space="preserve">Bacterial reverse mutation assay (TNO Triskelion 2012). Regulatory status: GLP; conducted </w:t>
      </w:r>
      <w:r w:rsidR="005908EE" w:rsidRPr="00FF4BC6">
        <w:rPr>
          <w:i/>
          <w:lang w:eastAsia="en-AU" w:bidi="ar-SA"/>
        </w:rPr>
        <w:t xml:space="preserve">in </w:t>
      </w:r>
      <w:r w:rsidR="00AE7731" w:rsidRPr="00FF4BC6">
        <w:rPr>
          <w:i/>
          <w:lang w:eastAsia="en-AU" w:bidi="ar-SA"/>
        </w:rPr>
        <w:t>compliance</w:t>
      </w:r>
      <w:r w:rsidR="005908EE" w:rsidRPr="00FF4BC6">
        <w:rPr>
          <w:i/>
          <w:lang w:eastAsia="en-AU" w:bidi="ar-SA"/>
        </w:rPr>
        <w:t xml:space="preserve"> with</w:t>
      </w:r>
      <w:r w:rsidRPr="00FF4BC6">
        <w:rPr>
          <w:i/>
          <w:lang w:eastAsia="en-AU" w:bidi="ar-SA"/>
        </w:rPr>
        <w:t xml:space="preserve"> OECD Guideline</w:t>
      </w:r>
      <w:r w:rsidR="005908EE" w:rsidRPr="00FF4BC6">
        <w:rPr>
          <w:i/>
          <w:lang w:eastAsia="en-AU" w:bidi="ar-SA"/>
        </w:rPr>
        <w:t xml:space="preserve"> 471 </w:t>
      </w:r>
    </w:p>
    <w:p w14:paraId="51DCEE54" w14:textId="77777777" w:rsidR="00FF4BC6" w:rsidRDefault="00FF4BC6" w:rsidP="00FF4BC6">
      <w:pPr>
        <w:rPr>
          <w:lang w:eastAsia="en-AU" w:bidi="ar-SA"/>
        </w:rPr>
      </w:pPr>
    </w:p>
    <w:p w14:paraId="0F621CFA" w14:textId="797A50CE" w:rsidR="00E87B0A" w:rsidRDefault="00E87B0A" w:rsidP="00E87B0A">
      <w:pPr>
        <w:rPr>
          <w:lang w:eastAsia="en-AU" w:bidi="ar-SA"/>
        </w:rPr>
      </w:pPr>
      <w:r>
        <w:rPr>
          <w:lang w:eastAsia="en-AU" w:bidi="ar-SA"/>
        </w:rPr>
        <w:t xml:space="preserve">The test article for this study was described as IM 11 Grade A. </w:t>
      </w:r>
      <w:r w:rsidRPr="005908EE">
        <w:rPr>
          <w:lang w:eastAsia="en-AU" w:bidi="ar-SA"/>
        </w:rPr>
        <w:t xml:space="preserve">According to Bitzer </w:t>
      </w:r>
      <w:r w:rsidRPr="005908EE">
        <w:rPr>
          <w:i/>
          <w:lang w:eastAsia="en-AU" w:bidi="ar-SA"/>
        </w:rPr>
        <w:t>et al</w:t>
      </w:r>
      <w:r w:rsidRPr="005908EE">
        <w:rPr>
          <w:lang w:eastAsia="en-AU" w:bidi="ar-SA"/>
        </w:rPr>
        <w:t xml:space="preserve">. (2017b), </w:t>
      </w:r>
      <w:r>
        <w:rPr>
          <w:lang w:eastAsia="en-AU" w:bidi="ar-SA"/>
        </w:rPr>
        <w:t>IM-11 is a</w:t>
      </w:r>
      <w:r w:rsidR="00812695">
        <w:rPr>
          <w:lang w:eastAsia="en-AU" w:bidi="ar-SA"/>
        </w:rPr>
        <w:t>n alternative</w:t>
      </w:r>
      <w:r>
        <w:rPr>
          <w:lang w:eastAsia="en-AU" w:bidi="ar-SA"/>
        </w:rPr>
        <w:t xml:space="preserve"> name used for </w:t>
      </w:r>
      <w:r w:rsidR="00003B29" w:rsidRPr="00003B29">
        <w:rPr>
          <w:lang w:eastAsia="en-AU" w:bidi="ar-SA"/>
        </w:rPr>
        <w:t xml:space="preserve">jelly mushroom glycolipids </w:t>
      </w:r>
      <w:r>
        <w:rPr>
          <w:lang w:eastAsia="en-AU" w:bidi="ar-SA"/>
        </w:rPr>
        <w:t xml:space="preserve">(see Subsection 3.2.3). The purity of the batch of test article used for this study was &gt;99%. The test article was dissolved in DMSO. The standard bacterial strains for assays of this type, </w:t>
      </w:r>
      <w:r w:rsidRPr="00C95139">
        <w:rPr>
          <w:i/>
          <w:lang w:eastAsia="en-AU" w:bidi="ar-SA"/>
        </w:rPr>
        <w:t>Salmonella typhimurium</w:t>
      </w:r>
      <w:r>
        <w:rPr>
          <w:lang w:eastAsia="en-AU" w:bidi="ar-SA"/>
        </w:rPr>
        <w:t xml:space="preserve"> strains TA 98, TA100, TA 1535, TA 1537, and </w:t>
      </w:r>
      <w:r w:rsidRPr="00C95139">
        <w:rPr>
          <w:i/>
          <w:lang w:eastAsia="en-AU" w:bidi="ar-SA"/>
        </w:rPr>
        <w:t>Escherichia coli</w:t>
      </w:r>
      <w:r>
        <w:rPr>
          <w:lang w:eastAsia="en-AU" w:bidi="ar-SA"/>
        </w:rPr>
        <w:t xml:space="preserve"> WP 2 </w:t>
      </w:r>
      <w:r w:rsidRPr="00C95139">
        <w:rPr>
          <w:i/>
          <w:lang w:eastAsia="en-AU" w:bidi="ar-SA"/>
        </w:rPr>
        <w:t>uvrA</w:t>
      </w:r>
      <w:r>
        <w:rPr>
          <w:lang w:eastAsia="en-AU" w:bidi="ar-SA"/>
        </w:rPr>
        <w:t xml:space="preserve"> comprised the test system. All assays were performed in triplicate and the standard reference mutagens were used as positive controls. </w:t>
      </w:r>
    </w:p>
    <w:p w14:paraId="41FE4F1A" w14:textId="77777777" w:rsidR="00E87B0A" w:rsidRDefault="00E87B0A" w:rsidP="00E87B0A">
      <w:pPr>
        <w:rPr>
          <w:lang w:eastAsia="en-AU" w:bidi="ar-SA"/>
        </w:rPr>
      </w:pPr>
    </w:p>
    <w:p w14:paraId="542D7FB2" w14:textId="0050269D" w:rsidR="00E87B0A" w:rsidRDefault="00E87B0A" w:rsidP="00E87B0A">
      <w:pPr>
        <w:rPr>
          <w:lang w:eastAsia="en-AU" w:bidi="ar-SA"/>
        </w:rPr>
      </w:pPr>
      <w:r>
        <w:rPr>
          <w:lang w:eastAsia="en-AU" w:bidi="ar-SA"/>
        </w:rPr>
        <w:t>Three tests were performed as part of the study. In the first test, which was performed according to the plate incorporation method, all strains were used, with and without S</w:t>
      </w:r>
      <w:r w:rsidR="00E973C6">
        <w:rPr>
          <w:lang w:eastAsia="en-AU" w:bidi="ar-SA"/>
        </w:rPr>
        <w:t>9</w:t>
      </w:r>
      <w:r>
        <w:rPr>
          <w:lang w:eastAsia="en-AU" w:bidi="ar-SA"/>
        </w:rPr>
        <w:t xml:space="preserve"> mix for metabolic activation, and using five concentrations of the test article, ranging from 62 to 5000 </w:t>
      </w:r>
      <w:r>
        <w:rPr>
          <w:rFonts w:cs="Arial"/>
          <w:lang w:eastAsia="en-AU" w:bidi="ar-SA"/>
        </w:rPr>
        <w:t>µ</w:t>
      </w:r>
      <w:r>
        <w:rPr>
          <w:lang w:eastAsia="en-AU" w:bidi="ar-SA"/>
        </w:rPr>
        <w:t xml:space="preserve">g test article/plate. Toxicity was observed for strain TA 1537, with and without S9 mix, at concentrations </w:t>
      </w:r>
      <w:r>
        <w:rPr>
          <w:rFonts w:cs="Arial"/>
          <w:lang w:eastAsia="en-AU" w:bidi="ar-SA"/>
        </w:rPr>
        <w:t>≥</w:t>
      </w:r>
      <w:r>
        <w:rPr>
          <w:lang w:eastAsia="en-AU" w:bidi="ar-SA"/>
        </w:rPr>
        <w:t xml:space="preserve"> 185 </w:t>
      </w:r>
      <w:r>
        <w:rPr>
          <w:rFonts w:cs="Arial"/>
          <w:lang w:eastAsia="en-AU" w:bidi="ar-SA"/>
        </w:rPr>
        <w:t>µ</w:t>
      </w:r>
      <w:r>
        <w:rPr>
          <w:lang w:eastAsia="en-AU" w:bidi="ar-SA"/>
        </w:rPr>
        <w:t xml:space="preserve">g/plate, and toxicity was observed to TA 100, in the absence of S9 mix, at 5000 </w:t>
      </w:r>
      <w:r>
        <w:rPr>
          <w:rFonts w:cs="Arial"/>
          <w:lang w:eastAsia="en-AU" w:bidi="ar-SA"/>
        </w:rPr>
        <w:t>µ</w:t>
      </w:r>
      <w:r>
        <w:rPr>
          <w:lang w:eastAsia="en-AU" w:bidi="ar-SA"/>
        </w:rPr>
        <w:t>g/plate. In the absence of S9 mix, a two fold increase in revertant colonies of TA 1535 was observed at several concentrations of the test article, but showed no dose-response relationship, and the increase was in association with a more dense background lawn of bacteria, reflecting a possible growth stimulatory effect of the test article. The test article did not have a significant effect on the number of revertant colonies of any other bacterial strain, as compared to the negative control plates.</w:t>
      </w:r>
    </w:p>
    <w:p w14:paraId="7088B50A" w14:textId="77777777" w:rsidR="00E87B0A" w:rsidRDefault="00E87B0A" w:rsidP="00E87B0A">
      <w:pPr>
        <w:rPr>
          <w:lang w:eastAsia="en-AU" w:bidi="ar-SA"/>
        </w:rPr>
      </w:pPr>
    </w:p>
    <w:p w14:paraId="4796379E" w14:textId="77777777" w:rsidR="00E87B0A" w:rsidRDefault="00E87B0A" w:rsidP="00E87B0A">
      <w:pPr>
        <w:rPr>
          <w:lang w:eastAsia="en-AU" w:bidi="ar-SA"/>
        </w:rPr>
      </w:pPr>
      <w:r>
        <w:rPr>
          <w:lang w:eastAsia="en-AU" w:bidi="ar-SA"/>
        </w:rPr>
        <w:t xml:space="preserve">The second and third tests were performed according to the treat and plate method. </w:t>
      </w:r>
    </w:p>
    <w:p w14:paraId="68E09352" w14:textId="48B761E5" w:rsidR="00E87B0A" w:rsidRDefault="00E87B0A" w:rsidP="00E87B0A">
      <w:pPr>
        <w:rPr>
          <w:lang w:eastAsia="en-AU" w:bidi="ar-SA"/>
        </w:rPr>
      </w:pPr>
      <w:r>
        <w:rPr>
          <w:lang w:eastAsia="en-AU" w:bidi="ar-SA"/>
        </w:rPr>
        <w:t>In the second test, strains TA 1535 and TA1537 were retested</w:t>
      </w:r>
      <w:r w:rsidR="00E973C6">
        <w:rPr>
          <w:lang w:eastAsia="en-AU" w:bidi="ar-SA"/>
        </w:rPr>
        <w:t xml:space="preserve"> at</w:t>
      </w:r>
      <w:r>
        <w:rPr>
          <w:lang w:eastAsia="en-AU" w:bidi="ar-SA"/>
        </w:rPr>
        <w:t xml:space="preserve"> concentrations of test article </w:t>
      </w:r>
      <w:r w:rsidR="00E973C6">
        <w:rPr>
          <w:lang w:eastAsia="en-AU" w:bidi="ar-SA"/>
        </w:rPr>
        <w:t xml:space="preserve">ranging </w:t>
      </w:r>
      <w:r>
        <w:rPr>
          <w:lang w:eastAsia="en-AU" w:bidi="ar-SA"/>
        </w:rPr>
        <w:t xml:space="preserve">from 19 to 300 </w:t>
      </w:r>
      <w:r>
        <w:rPr>
          <w:rFonts w:cs="Arial"/>
          <w:lang w:eastAsia="en-AU" w:bidi="ar-SA"/>
        </w:rPr>
        <w:t>µ</w:t>
      </w:r>
      <w:r>
        <w:rPr>
          <w:lang w:eastAsia="en-AU" w:bidi="ar-SA"/>
        </w:rPr>
        <w:t xml:space="preserve">g/mL. TA 1535 assays were conducted without S9 mix, and TA 1537 assays were conducted with and without S9 mix. In the second test, the test article was toxic to TA 1537 at 300 </w:t>
      </w:r>
      <w:r>
        <w:rPr>
          <w:rFonts w:cs="Arial"/>
          <w:lang w:eastAsia="en-AU" w:bidi="ar-SA"/>
        </w:rPr>
        <w:t>µ</w:t>
      </w:r>
      <w:r>
        <w:rPr>
          <w:lang w:eastAsia="en-AU" w:bidi="ar-SA"/>
        </w:rPr>
        <w:t xml:space="preserve">g/mL. However results from the required </w:t>
      </w:r>
      <w:r>
        <w:rPr>
          <w:rFonts w:cs="Arial"/>
          <w:lang w:eastAsia="en-AU" w:bidi="ar-SA"/>
        </w:rPr>
        <w:t>≥</w:t>
      </w:r>
      <w:r>
        <w:rPr>
          <w:lang w:eastAsia="en-AU" w:bidi="ar-SA"/>
        </w:rPr>
        <w:t>3 nontoxic concentrations were obtained for TA 1537, allowing the conclusion to be drawn that the test article was not mutagenic to this strain. For TA 1535, an increase in revertant colonies was observed in the absence of S9 mix, but showed no dose-response relationship. Furthermore, the number of revertant colonies in the negative control assays was at the lower end of the acceptable range.</w:t>
      </w:r>
    </w:p>
    <w:p w14:paraId="0A809259" w14:textId="77777777" w:rsidR="00E87B0A" w:rsidRDefault="00E87B0A" w:rsidP="00E87B0A">
      <w:pPr>
        <w:rPr>
          <w:lang w:eastAsia="en-AU" w:bidi="ar-SA"/>
        </w:rPr>
      </w:pPr>
    </w:p>
    <w:p w14:paraId="017B26D8" w14:textId="77777777" w:rsidR="00E87B0A" w:rsidRDefault="00E87B0A" w:rsidP="00E87B0A">
      <w:pPr>
        <w:rPr>
          <w:lang w:eastAsia="en-AU" w:bidi="ar-SA"/>
        </w:rPr>
      </w:pPr>
      <w:r>
        <w:rPr>
          <w:lang w:eastAsia="en-AU" w:bidi="ar-SA"/>
        </w:rPr>
        <w:t xml:space="preserve">In the third test, the only test system was TA 1535, S9 mix was not used, and test article concentrations ranged from 62 to 5000 </w:t>
      </w:r>
      <w:r>
        <w:rPr>
          <w:rFonts w:cs="Arial"/>
          <w:lang w:eastAsia="en-AU" w:bidi="ar-SA"/>
        </w:rPr>
        <w:t>µ</w:t>
      </w:r>
      <w:r>
        <w:rPr>
          <w:lang w:eastAsia="en-AU" w:bidi="ar-SA"/>
        </w:rPr>
        <w:t xml:space="preserve">g/mL. No evidence of a significant or dose-related increase in revertant colonies was observed, as compared to concurrent negative controls. </w:t>
      </w:r>
    </w:p>
    <w:p w14:paraId="6C8DDD05" w14:textId="77777777" w:rsidR="00E87B0A" w:rsidRDefault="00E87B0A" w:rsidP="00E87B0A">
      <w:pPr>
        <w:rPr>
          <w:lang w:eastAsia="en-AU" w:bidi="ar-SA"/>
        </w:rPr>
      </w:pPr>
    </w:p>
    <w:p w14:paraId="4E071D20" w14:textId="58E6764C" w:rsidR="00E87B0A" w:rsidRDefault="00E87B0A" w:rsidP="002B3C8A">
      <w:pPr>
        <w:rPr>
          <w:lang w:eastAsia="en-AU" w:bidi="ar-SA"/>
        </w:rPr>
      </w:pPr>
      <w:r>
        <w:rPr>
          <w:lang w:eastAsia="en-AU" w:bidi="ar-SA"/>
        </w:rPr>
        <w:t xml:space="preserve">It was concluded that the test article is not mutagenic under the conditions of this study. </w:t>
      </w:r>
    </w:p>
    <w:p w14:paraId="1C5524AB" w14:textId="4ED9D200" w:rsidR="0001408D" w:rsidRDefault="0001408D" w:rsidP="002B3C8A">
      <w:pPr>
        <w:rPr>
          <w:lang w:eastAsia="en-AU" w:bidi="ar-SA"/>
        </w:rPr>
      </w:pPr>
    </w:p>
    <w:p w14:paraId="155A1F0C" w14:textId="77777777" w:rsidR="004847A7" w:rsidRPr="002B3C8A" w:rsidRDefault="004847A7" w:rsidP="002B3C8A">
      <w:pPr>
        <w:rPr>
          <w:lang w:eastAsia="en-AU" w:bidi="ar-SA"/>
        </w:rPr>
      </w:pPr>
    </w:p>
    <w:p w14:paraId="61C7A187" w14:textId="5BBD3EC2" w:rsidR="005908EE" w:rsidRDefault="00E87B0A" w:rsidP="00FF4BC6">
      <w:pPr>
        <w:rPr>
          <w:i/>
          <w:lang w:eastAsia="en-AU" w:bidi="ar-SA"/>
        </w:rPr>
      </w:pPr>
      <w:r w:rsidRPr="00FF4BC6">
        <w:rPr>
          <w:i/>
          <w:lang w:eastAsia="en-AU" w:bidi="ar-SA"/>
        </w:rPr>
        <w:t xml:space="preserve">Micronucleus test in cultured human lymphocytes </w:t>
      </w:r>
      <w:r w:rsidR="0015755E" w:rsidRPr="00FF4BC6">
        <w:rPr>
          <w:i/>
          <w:lang w:eastAsia="en-AU" w:bidi="ar-SA"/>
        </w:rPr>
        <w:t xml:space="preserve">(TNO Triskelion 2012). Regulatory status: GLP; conducted in </w:t>
      </w:r>
      <w:r w:rsidR="00AE7731" w:rsidRPr="00FF4BC6">
        <w:rPr>
          <w:i/>
          <w:lang w:eastAsia="en-AU" w:bidi="ar-SA"/>
        </w:rPr>
        <w:t>complianc</w:t>
      </w:r>
      <w:r w:rsidR="0015755E" w:rsidRPr="00FF4BC6">
        <w:rPr>
          <w:i/>
          <w:lang w:eastAsia="en-AU" w:bidi="ar-SA"/>
        </w:rPr>
        <w:t xml:space="preserve">e with OECD Guideline 487 </w:t>
      </w:r>
    </w:p>
    <w:p w14:paraId="1FACDC78" w14:textId="77777777" w:rsidR="00FF4BC6" w:rsidRPr="00FF4BC6" w:rsidRDefault="00FF4BC6" w:rsidP="00FF4BC6">
      <w:pPr>
        <w:rPr>
          <w:i/>
          <w:lang w:eastAsia="en-AU" w:bidi="ar-SA"/>
        </w:rPr>
      </w:pPr>
    </w:p>
    <w:p w14:paraId="6C6098AD" w14:textId="41C66C5D" w:rsidR="0015755E" w:rsidRDefault="0015755E" w:rsidP="00FF4BC6">
      <w:pPr>
        <w:rPr>
          <w:lang w:eastAsia="en-AU" w:bidi="ar-SA"/>
        </w:rPr>
      </w:pPr>
      <w:r>
        <w:rPr>
          <w:lang w:eastAsia="en-AU" w:bidi="ar-SA"/>
        </w:rPr>
        <w:t xml:space="preserve">The same batch of </w:t>
      </w:r>
      <w:r w:rsidR="00003B29" w:rsidRPr="00003B29">
        <w:rPr>
          <w:lang w:eastAsia="en-AU" w:bidi="ar-SA"/>
        </w:rPr>
        <w:t>jelly mushroom glycolipids</w:t>
      </w:r>
      <w:r>
        <w:rPr>
          <w:lang w:eastAsia="en-AU" w:bidi="ar-SA"/>
        </w:rPr>
        <w:t xml:space="preserve">, referred to by the code name IM 11 Grade A, was used for this study as for the bacterial reverse mutation study summarized above. </w:t>
      </w:r>
      <w:r w:rsidR="00BC55CF">
        <w:rPr>
          <w:lang w:eastAsia="en-AU" w:bidi="ar-SA"/>
        </w:rPr>
        <w:t xml:space="preserve">The solvent for the test article was DMSO. Standard reference positive control chemicals, as recommended by </w:t>
      </w:r>
      <w:r w:rsidR="00E973C6">
        <w:rPr>
          <w:lang w:eastAsia="en-AU" w:bidi="ar-SA"/>
        </w:rPr>
        <w:t xml:space="preserve">OECD </w:t>
      </w:r>
      <w:r w:rsidR="00BC55CF">
        <w:rPr>
          <w:lang w:eastAsia="en-AU" w:bidi="ar-SA"/>
        </w:rPr>
        <w:t xml:space="preserve">Guideline 487, were used to confirm the validity of the assay. The test system comprised </w:t>
      </w:r>
      <w:r w:rsidR="00E973C6">
        <w:rPr>
          <w:lang w:eastAsia="en-AU" w:bidi="ar-SA"/>
        </w:rPr>
        <w:t xml:space="preserve">lymphocytes from </w:t>
      </w:r>
      <w:r w:rsidR="00BC55CF">
        <w:rPr>
          <w:lang w:eastAsia="en-AU" w:bidi="ar-SA"/>
        </w:rPr>
        <w:t xml:space="preserve">young, healthy, non-smoking individuals with no known recent exposure to genotoxic agents. Different donors were used for the two experiments in the report, which were a dose range-finding toxicity test and the definitive </w:t>
      </w:r>
      <w:r w:rsidR="00BC55CF" w:rsidRPr="0015755E">
        <w:rPr>
          <w:i/>
          <w:lang w:eastAsia="en-AU" w:bidi="ar-SA"/>
        </w:rPr>
        <w:t>in vitro</w:t>
      </w:r>
      <w:r w:rsidR="00BC55CF">
        <w:rPr>
          <w:lang w:eastAsia="en-AU" w:bidi="ar-SA"/>
        </w:rPr>
        <w:t xml:space="preserve"> micronucleus test.</w:t>
      </w:r>
    </w:p>
    <w:p w14:paraId="1E9F1E7B" w14:textId="77777777" w:rsidR="002B3C8A" w:rsidRDefault="002B3C8A" w:rsidP="00FF4BC6">
      <w:pPr>
        <w:rPr>
          <w:lang w:eastAsia="en-AU" w:bidi="ar-SA"/>
        </w:rPr>
      </w:pPr>
    </w:p>
    <w:p w14:paraId="5726796D" w14:textId="44D0CE6D" w:rsidR="00AD15CE" w:rsidRDefault="00AD15CE" w:rsidP="00FF4BC6">
      <w:pPr>
        <w:rPr>
          <w:lang w:eastAsia="en-AU" w:bidi="ar-SA"/>
        </w:rPr>
      </w:pPr>
      <w:r>
        <w:rPr>
          <w:lang w:eastAsia="en-AU" w:bidi="ar-SA"/>
        </w:rPr>
        <w:t>In the dose</w:t>
      </w:r>
      <w:r w:rsidR="00074C51">
        <w:rPr>
          <w:lang w:eastAsia="en-AU" w:bidi="ar-SA"/>
        </w:rPr>
        <w:t xml:space="preserve"> </w:t>
      </w:r>
      <w:r>
        <w:rPr>
          <w:lang w:eastAsia="en-AU" w:bidi="ar-SA"/>
        </w:rPr>
        <w:t>range</w:t>
      </w:r>
      <w:r w:rsidR="00074C51">
        <w:rPr>
          <w:lang w:eastAsia="en-AU" w:bidi="ar-SA"/>
        </w:rPr>
        <w:t>-</w:t>
      </w:r>
      <w:r>
        <w:rPr>
          <w:lang w:eastAsia="en-AU" w:bidi="ar-SA"/>
        </w:rPr>
        <w:t xml:space="preserve">finding test, twenty dose concentrations of the test article were used, ranging from </w:t>
      </w:r>
      <w:r w:rsidR="00E973C6" w:rsidRPr="00E973C6">
        <w:rPr>
          <w:lang w:eastAsia="en-AU" w:bidi="ar-SA"/>
        </w:rPr>
        <w:t xml:space="preserve">final concentrations </w:t>
      </w:r>
      <w:r w:rsidR="00E973C6">
        <w:rPr>
          <w:lang w:eastAsia="en-AU" w:bidi="ar-SA"/>
        </w:rPr>
        <w:t xml:space="preserve">of </w:t>
      </w:r>
      <w:r>
        <w:rPr>
          <w:lang w:eastAsia="en-AU" w:bidi="ar-SA"/>
        </w:rPr>
        <w:t xml:space="preserve">0.0313 to 5000 </w:t>
      </w:r>
      <w:r>
        <w:rPr>
          <w:rFonts w:cs="Arial"/>
          <w:lang w:eastAsia="en-AU" w:bidi="ar-SA"/>
        </w:rPr>
        <w:t>µ</w:t>
      </w:r>
      <w:r>
        <w:rPr>
          <w:lang w:eastAsia="en-AU" w:bidi="ar-SA"/>
        </w:rPr>
        <w:t>g/mL in the culture medium. In the presence of S9 mix, treatment/recovery time was 4/20 hours (pulse treatment) and in the absence of S9 mix, treatment/recovery time was 20/28 hours (continuous treatment). Cytotoxicity was calculated from the Cytokinesis-Block Proliferation Index (CBPI) and other markers of cytotoxicity, such as appearance of nucle</w:t>
      </w:r>
      <w:r w:rsidR="007261FD">
        <w:rPr>
          <w:lang w:eastAsia="en-AU" w:bidi="ar-SA"/>
        </w:rPr>
        <w:t>us and/or</w:t>
      </w:r>
      <w:r>
        <w:rPr>
          <w:lang w:eastAsia="en-AU" w:bidi="ar-SA"/>
        </w:rPr>
        <w:t xml:space="preserve"> cytoplasm, necrosis or apoptosis, were visually scored in Giemsa-stained slides. In the pulse treatment group with metabolic activation, severe cytotoxicity was found at </w:t>
      </w:r>
      <w:r>
        <w:rPr>
          <w:rFonts w:cs="Arial"/>
          <w:lang w:eastAsia="en-AU" w:bidi="ar-SA"/>
        </w:rPr>
        <w:t>≥</w:t>
      </w:r>
      <w:r>
        <w:rPr>
          <w:lang w:eastAsia="en-AU" w:bidi="ar-SA"/>
        </w:rPr>
        <w:t xml:space="preserve">500 </w:t>
      </w:r>
      <w:r>
        <w:rPr>
          <w:rFonts w:cs="Arial"/>
          <w:lang w:eastAsia="en-AU" w:bidi="ar-SA"/>
        </w:rPr>
        <w:t>µ</w:t>
      </w:r>
      <w:r>
        <w:rPr>
          <w:lang w:eastAsia="en-AU" w:bidi="ar-SA"/>
        </w:rPr>
        <w:t xml:space="preserve">g/mL. Cytotoxicity at 250 and 125 </w:t>
      </w:r>
      <w:r>
        <w:rPr>
          <w:rFonts w:cs="Arial"/>
          <w:lang w:eastAsia="en-AU" w:bidi="ar-SA"/>
        </w:rPr>
        <w:t>µ</w:t>
      </w:r>
      <w:r>
        <w:rPr>
          <w:lang w:eastAsia="en-AU" w:bidi="ar-SA"/>
        </w:rPr>
        <w:t xml:space="preserve">g/mL was 30% and 27% respectively. In the continuous treatment group without metabolic activation, severe cytotoxicity was evident at </w:t>
      </w:r>
      <w:r>
        <w:rPr>
          <w:rFonts w:cs="Arial"/>
          <w:lang w:eastAsia="en-AU" w:bidi="ar-SA"/>
        </w:rPr>
        <w:t>≥</w:t>
      </w:r>
      <w:r>
        <w:rPr>
          <w:lang w:eastAsia="en-AU" w:bidi="ar-SA"/>
        </w:rPr>
        <w:t xml:space="preserve">1000 </w:t>
      </w:r>
      <w:r>
        <w:rPr>
          <w:rFonts w:cs="Arial"/>
          <w:lang w:eastAsia="en-AU" w:bidi="ar-SA"/>
        </w:rPr>
        <w:t>µ</w:t>
      </w:r>
      <w:r>
        <w:rPr>
          <w:lang w:eastAsia="en-AU" w:bidi="ar-SA"/>
        </w:rPr>
        <w:t xml:space="preserve">g/mL, and cytotoxicity was 21% at 500 </w:t>
      </w:r>
      <w:r>
        <w:rPr>
          <w:rFonts w:cs="Arial"/>
          <w:lang w:eastAsia="en-AU" w:bidi="ar-SA"/>
        </w:rPr>
        <w:t>µ</w:t>
      </w:r>
      <w:r>
        <w:rPr>
          <w:lang w:eastAsia="en-AU" w:bidi="ar-SA"/>
        </w:rPr>
        <w:t xml:space="preserve">g/mL. </w:t>
      </w:r>
    </w:p>
    <w:p w14:paraId="2B0A516D" w14:textId="77777777" w:rsidR="002B3C8A" w:rsidRDefault="002B3C8A" w:rsidP="00FF4BC6">
      <w:pPr>
        <w:rPr>
          <w:lang w:eastAsia="en-AU" w:bidi="ar-SA"/>
        </w:rPr>
      </w:pPr>
    </w:p>
    <w:p w14:paraId="7F6209B2" w14:textId="198C0511" w:rsidR="002B3C8A" w:rsidRDefault="00681F3C" w:rsidP="002B3C8A">
      <w:pPr>
        <w:rPr>
          <w:lang w:eastAsia="en-AU" w:bidi="ar-SA"/>
        </w:rPr>
      </w:pPr>
      <w:r>
        <w:rPr>
          <w:lang w:eastAsia="en-AU" w:bidi="ar-SA"/>
        </w:rPr>
        <w:t>On the basis of the dose</w:t>
      </w:r>
      <w:r w:rsidR="00074C51">
        <w:rPr>
          <w:lang w:eastAsia="en-AU" w:bidi="ar-SA"/>
        </w:rPr>
        <w:t xml:space="preserve"> </w:t>
      </w:r>
      <w:r>
        <w:rPr>
          <w:lang w:eastAsia="en-AU" w:bidi="ar-SA"/>
        </w:rPr>
        <w:t>range</w:t>
      </w:r>
      <w:r w:rsidR="00074C51">
        <w:rPr>
          <w:lang w:eastAsia="en-AU" w:bidi="ar-SA"/>
        </w:rPr>
        <w:t>-</w:t>
      </w:r>
      <w:r>
        <w:rPr>
          <w:lang w:eastAsia="en-AU" w:bidi="ar-SA"/>
        </w:rPr>
        <w:t xml:space="preserve">finding test, selected assays and doses were pulse treatment group with S9 mix at 300, 500 and 700 </w:t>
      </w:r>
      <w:r>
        <w:rPr>
          <w:rFonts w:cs="Arial"/>
          <w:lang w:eastAsia="en-AU" w:bidi="ar-SA"/>
        </w:rPr>
        <w:t>µ</w:t>
      </w:r>
      <w:r>
        <w:rPr>
          <w:lang w:eastAsia="en-AU" w:bidi="ar-SA"/>
        </w:rPr>
        <w:t xml:space="preserve">g/mL; pulse treatment group without S9 mix at 100, 200 and 400 </w:t>
      </w:r>
      <w:r>
        <w:rPr>
          <w:rFonts w:cs="Arial"/>
          <w:lang w:eastAsia="en-AU" w:bidi="ar-SA"/>
        </w:rPr>
        <w:t>µ</w:t>
      </w:r>
      <w:r>
        <w:rPr>
          <w:lang w:eastAsia="en-AU" w:bidi="ar-SA"/>
        </w:rPr>
        <w:t xml:space="preserve">g/mL; and continuous treatment group without S9 mix at 600, 800 and 900 </w:t>
      </w:r>
      <w:r>
        <w:rPr>
          <w:rFonts w:cs="Arial"/>
          <w:lang w:eastAsia="en-AU" w:bidi="ar-SA"/>
        </w:rPr>
        <w:t>µ</w:t>
      </w:r>
      <w:r>
        <w:rPr>
          <w:lang w:eastAsia="en-AU" w:bidi="ar-SA"/>
        </w:rPr>
        <w:t>g/mL. Some dose-related cytotoxicity was observed in the pulse-treated groups but there were no statistically significant increases in micronuclei in binucleated cells in</w:t>
      </w:r>
      <w:r w:rsidR="007261FD">
        <w:rPr>
          <w:lang w:eastAsia="en-AU" w:bidi="ar-SA"/>
        </w:rPr>
        <w:t xml:space="preserve"> any</w:t>
      </w:r>
      <w:r>
        <w:rPr>
          <w:lang w:eastAsia="en-AU" w:bidi="ar-SA"/>
        </w:rPr>
        <w:t xml:space="preserve"> groups</w:t>
      </w:r>
      <w:r w:rsidR="007261FD">
        <w:rPr>
          <w:lang w:eastAsia="en-AU" w:bidi="ar-SA"/>
        </w:rPr>
        <w:t xml:space="preserve"> treated with the test article</w:t>
      </w:r>
      <w:r>
        <w:rPr>
          <w:lang w:eastAsia="en-AU" w:bidi="ar-SA"/>
        </w:rPr>
        <w:t xml:space="preserve">, when compared to negative control groups. </w:t>
      </w:r>
      <w:r w:rsidR="007261FD">
        <w:rPr>
          <w:lang w:eastAsia="en-AU" w:bidi="ar-SA"/>
        </w:rPr>
        <w:t xml:space="preserve">Micronucleus counts in negative control groups were consistent with historical control data, and the positive control chemicals induced the expected significant increases in micronuclei, confirming the validity of the assay. </w:t>
      </w:r>
    </w:p>
    <w:p w14:paraId="724F8F8A" w14:textId="77777777" w:rsidR="002B3C8A" w:rsidRDefault="002B3C8A" w:rsidP="002B3C8A">
      <w:pPr>
        <w:rPr>
          <w:lang w:eastAsia="en-AU" w:bidi="ar-SA"/>
        </w:rPr>
      </w:pPr>
    </w:p>
    <w:p w14:paraId="480E7320" w14:textId="4F25A59E" w:rsidR="00681F3C" w:rsidRDefault="007261FD" w:rsidP="002B3C8A">
      <w:pPr>
        <w:rPr>
          <w:lang w:eastAsia="en-AU" w:bidi="ar-SA"/>
        </w:rPr>
      </w:pPr>
      <w:r>
        <w:rPr>
          <w:lang w:eastAsia="en-AU" w:bidi="ar-SA"/>
        </w:rPr>
        <w:t xml:space="preserve">It was concluded that the test article was not clastogenic and/or aneugenic under the conditions of the study. </w:t>
      </w:r>
    </w:p>
    <w:p w14:paraId="1570A2A6" w14:textId="1236CFA9" w:rsidR="002B3C8A" w:rsidRDefault="002B3C8A" w:rsidP="002B3C8A">
      <w:pPr>
        <w:rPr>
          <w:lang w:eastAsia="en-AU" w:bidi="ar-SA"/>
        </w:rPr>
      </w:pPr>
    </w:p>
    <w:p w14:paraId="5BC9366C" w14:textId="77777777" w:rsidR="004847A7" w:rsidRDefault="004847A7" w:rsidP="002B3C8A">
      <w:pPr>
        <w:rPr>
          <w:lang w:eastAsia="en-AU" w:bidi="ar-SA"/>
        </w:rPr>
      </w:pPr>
    </w:p>
    <w:p w14:paraId="25D5867E" w14:textId="66C2C312" w:rsidR="006A148B" w:rsidRDefault="007261FD" w:rsidP="002B3C8A">
      <w:pPr>
        <w:rPr>
          <w:i/>
          <w:lang w:eastAsia="en-AU" w:bidi="ar-SA"/>
        </w:rPr>
      </w:pPr>
      <w:r w:rsidRPr="002B3C8A">
        <w:rPr>
          <w:lang w:eastAsia="en-AU" w:bidi="ar-SA"/>
        </w:rPr>
        <w:t>In vitro</w:t>
      </w:r>
      <w:r w:rsidRPr="002B3C8A">
        <w:rPr>
          <w:i/>
          <w:lang w:eastAsia="en-AU" w:bidi="ar-SA"/>
        </w:rPr>
        <w:t xml:space="preserve"> mammalian cell gene mutation test </w:t>
      </w:r>
      <w:r w:rsidR="008F3095" w:rsidRPr="002B3C8A">
        <w:rPr>
          <w:i/>
          <w:lang w:eastAsia="en-AU" w:bidi="ar-SA"/>
        </w:rPr>
        <w:t xml:space="preserve">(TK mutation test) </w:t>
      </w:r>
      <w:r w:rsidRPr="002B3C8A">
        <w:rPr>
          <w:i/>
          <w:lang w:eastAsia="en-AU" w:bidi="ar-SA"/>
        </w:rPr>
        <w:t xml:space="preserve">in L5178Y mouse lymphoma cells. </w:t>
      </w:r>
      <w:r w:rsidR="00AE7731" w:rsidRPr="002B3C8A">
        <w:rPr>
          <w:i/>
          <w:lang w:eastAsia="en-AU" w:bidi="ar-SA"/>
        </w:rPr>
        <w:t>(</w:t>
      </w:r>
      <w:r w:rsidRPr="002B3C8A">
        <w:rPr>
          <w:i/>
          <w:lang w:eastAsia="en-AU" w:bidi="ar-SA"/>
        </w:rPr>
        <w:t>WIL Research 2016</w:t>
      </w:r>
      <w:r w:rsidR="00AE7731" w:rsidRPr="002B3C8A">
        <w:rPr>
          <w:i/>
          <w:lang w:eastAsia="en-AU" w:bidi="ar-SA"/>
        </w:rPr>
        <w:t>)</w:t>
      </w:r>
      <w:r w:rsidRPr="002B3C8A">
        <w:rPr>
          <w:i/>
          <w:lang w:eastAsia="en-AU" w:bidi="ar-SA"/>
        </w:rPr>
        <w:t xml:space="preserve">. Regulatory status: GLP; conducted in </w:t>
      </w:r>
      <w:r w:rsidR="00AE7731" w:rsidRPr="002B3C8A">
        <w:rPr>
          <w:i/>
          <w:lang w:eastAsia="en-AU" w:bidi="ar-SA"/>
        </w:rPr>
        <w:t>compliance</w:t>
      </w:r>
      <w:r w:rsidRPr="002B3C8A">
        <w:rPr>
          <w:i/>
          <w:lang w:eastAsia="en-AU" w:bidi="ar-SA"/>
        </w:rPr>
        <w:t xml:space="preserve"> with OECD Guideline </w:t>
      </w:r>
      <w:r w:rsidR="00AE7731" w:rsidRPr="002B3C8A">
        <w:rPr>
          <w:i/>
          <w:lang w:eastAsia="en-AU" w:bidi="ar-SA"/>
        </w:rPr>
        <w:t>490 (2015), Commission Regulation (EC) No. 440/2008, US FDA Redbook, and published recommendations of the International Workshop on Genotoxicity Tests (IWGT).</w:t>
      </w:r>
    </w:p>
    <w:p w14:paraId="012903AF" w14:textId="77777777" w:rsidR="002B3C8A" w:rsidRPr="002B3C8A" w:rsidRDefault="002B3C8A" w:rsidP="002B3C8A">
      <w:pPr>
        <w:rPr>
          <w:i/>
          <w:lang w:eastAsia="en-AU" w:bidi="ar-SA"/>
        </w:rPr>
      </w:pPr>
    </w:p>
    <w:p w14:paraId="6E570EBF" w14:textId="063A9BF6" w:rsidR="00DF2069" w:rsidRDefault="00DF2069" w:rsidP="002B3C8A">
      <w:pPr>
        <w:rPr>
          <w:lang w:eastAsia="en-AU" w:bidi="ar-SA"/>
        </w:rPr>
      </w:pPr>
      <w:r>
        <w:rPr>
          <w:lang w:eastAsia="en-AU" w:bidi="ar-SA"/>
        </w:rPr>
        <w:t>The test article for this study was characterised as IMD AM-1. The study report includes a Certificate of Analysis for IMD AM-1 that describes it as a glycolipid mixture, with an analysed purity of 92%. DMSO was used as the solvent for the test article. Standard reference positive controls were used to confirm the validity of the assay. The test system was L5178Y mouse lymphoma cells</w:t>
      </w:r>
      <w:r w:rsidR="00AC488C">
        <w:rPr>
          <w:lang w:eastAsia="en-AU" w:bidi="ar-SA"/>
        </w:rPr>
        <w:t xml:space="preserve"> in culture</w:t>
      </w:r>
      <w:r>
        <w:rPr>
          <w:lang w:eastAsia="en-AU" w:bidi="ar-SA"/>
        </w:rPr>
        <w:t xml:space="preserve">. </w:t>
      </w:r>
      <w:r w:rsidR="00AC488C">
        <w:rPr>
          <w:lang w:eastAsia="en-AU" w:bidi="ar-SA"/>
        </w:rPr>
        <w:t xml:space="preserve">The study comprised a dose range-finding test and </w:t>
      </w:r>
      <w:r w:rsidR="00967778">
        <w:rPr>
          <w:lang w:eastAsia="en-AU" w:bidi="ar-SA"/>
        </w:rPr>
        <w:t>two</w:t>
      </w:r>
      <w:r w:rsidR="00AC488C">
        <w:rPr>
          <w:lang w:eastAsia="en-AU" w:bidi="ar-SA"/>
        </w:rPr>
        <w:t xml:space="preserve"> definitive mutagenicity test</w:t>
      </w:r>
      <w:r w:rsidR="00967778">
        <w:rPr>
          <w:lang w:eastAsia="en-AU" w:bidi="ar-SA"/>
        </w:rPr>
        <w:t>s</w:t>
      </w:r>
      <w:r w:rsidR="00AC488C">
        <w:rPr>
          <w:lang w:eastAsia="en-AU" w:bidi="ar-SA"/>
        </w:rPr>
        <w:t>.</w:t>
      </w:r>
      <w:r w:rsidR="00967778">
        <w:rPr>
          <w:lang w:eastAsia="en-AU" w:bidi="ar-SA"/>
        </w:rPr>
        <w:t xml:space="preserve"> In the first definitive test (Experiment 1) exposure duration was 3 hours, in the presence and the absence of S9 mix. In the second definitive test (Experiment 2) exposure duration was 24 hours, and the experiment was conducted without the addition of S9 mix. </w:t>
      </w:r>
    </w:p>
    <w:p w14:paraId="117DD428" w14:textId="77777777" w:rsidR="002B3C8A" w:rsidRDefault="002B3C8A" w:rsidP="002B3C8A">
      <w:pPr>
        <w:rPr>
          <w:lang w:eastAsia="en-AU" w:bidi="ar-SA"/>
        </w:rPr>
      </w:pPr>
    </w:p>
    <w:p w14:paraId="6DC5154D" w14:textId="2BAB0C02" w:rsidR="00967778" w:rsidRDefault="00CE25CC" w:rsidP="002B3C8A">
      <w:pPr>
        <w:rPr>
          <w:lang w:eastAsia="en-AU" w:bidi="ar-SA"/>
        </w:rPr>
      </w:pPr>
      <w:r>
        <w:rPr>
          <w:lang w:eastAsia="en-AU" w:bidi="ar-SA"/>
        </w:rPr>
        <w:t>In the dose range</w:t>
      </w:r>
      <w:r w:rsidR="00E973C6">
        <w:rPr>
          <w:lang w:eastAsia="en-AU" w:bidi="ar-SA"/>
        </w:rPr>
        <w:t>-</w:t>
      </w:r>
      <w:r>
        <w:rPr>
          <w:lang w:eastAsia="en-AU" w:bidi="ar-SA"/>
        </w:rPr>
        <w:t xml:space="preserve">finding test, cells were exposed to the test article  at concentrations ranging from 52 to 4000 </w:t>
      </w:r>
      <w:r>
        <w:rPr>
          <w:rFonts w:cs="Arial"/>
          <w:lang w:eastAsia="en-AU" w:bidi="ar-SA"/>
        </w:rPr>
        <w:t>µ</w:t>
      </w:r>
      <w:r>
        <w:rPr>
          <w:lang w:eastAsia="en-AU" w:bidi="ar-SA"/>
        </w:rPr>
        <w:t xml:space="preserve">g/mL. Two treatment periods, 3 hours and 24 hours, were used in the absence of S9 mix, and a treatment period of 3 hours was used in the presence of S9 mix. </w:t>
      </w:r>
      <w:r w:rsidR="00967778">
        <w:rPr>
          <w:lang w:eastAsia="en-AU" w:bidi="ar-SA"/>
        </w:rPr>
        <w:t xml:space="preserve">Little or no cell survival was observed at </w:t>
      </w:r>
      <w:r w:rsidR="00967778">
        <w:rPr>
          <w:rFonts w:cs="Arial"/>
          <w:lang w:eastAsia="en-AU" w:bidi="ar-SA"/>
        </w:rPr>
        <w:t>≥</w:t>
      </w:r>
      <w:r w:rsidR="00967778">
        <w:rPr>
          <w:lang w:eastAsia="en-AU" w:bidi="ar-SA"/>
        </w:rPr>
        <w:t xml:space="preserve">1600 </w:t>
      </w:r>
      <w:r w:rsidR="00967778">
        <w:rPr>
          <w:rFonts w:cs="Arial"/>
          <w:lang w:eastAsia="en-AU" w:bidi="ar-SA"/>
        </w:rPr>
        <w:t>µ</w:t>
      </w:r>
      <w:r w:rsidR="00967778">
        <w:rPr>
          <w:lang w:eastAsia="en-AU" w:bidi="ar-SA"/>
        </w:rPr>
        <w:t>g/mL, with or without S9 mix. In the presence and absence of S9 mix, relative suspension growth was significantly reduced, as compared to the negative controls</w:t>
      </w:r>
      <w:r w:rsidR="00C0529B">
        <w:rPr>
          <w:lang w:eastAsia="en-AU" w:bidi="ar-SA"/>
        </w:rPr>
        <w:t xml:space="preserve">, at 512 </w:t>
      </w:r>
      <w:r w:rsidR="00C0529B">
        <w:rPr>
          <w:rFonts w:cs="Arial"/>
          <w:lang w:eastAsia="en-AU" w:bidi="ar-SA"/>
        </w:rPr>
        <w:t>µ</w:t>
      </w:r>
      <w:r w:rsidR="00C0529B">
        <w:rPr>
          <w:lang w:eastAsia="en-AU" w:bidi="ar-SA"/>
        </w:rPr>
        <w:t>g/mL</w:t>
      </w:r>
      <w:r w:rsidR="00967778">
        <w:rPr>
          <w:lang w:eastAsia="en-AU" w:bidi="ar-SA"/>
        </w:rPr>
        <w:t xml:space="preserve">. </w:t>
      </w:r>
    </w:p>
    <w:p w14:paraId="159F54F3" w14:textId="77777777" w:rsidR="002B3C8A" w:rsidRDefault="002B3C8A" w:rsidP="002B3C8A">
      <w:pPr>
        <w:rPr>
          <w:lang w:eastAsia="en-AU" w:bidi="ar-SA"/>
        </w:rPr>
      </w:pPr>
    </w:p>
    <w:p w14:paraId="6AEA589F" w14:textId="5BF8705B" w:rsidR="00CE25CC" w:rsidRDefault="00C0529B" w:rsidP="002B3C8A">
      <w:pPr>
        <w:rPr>
          <w:lang w:eastAsia="en-AU" w:bidi="ar-SA"/>
        </w:rPr>
      </w:pPr>
      <w:r>
        <w:rPr>
          <w:lang w:eastAsia="en-AU" w:bidi="ar-SA"/>
        </w:rPr>
        <w:t xml:space="preserve">Excessive cytotoxicity made it necessary to repeat Experiment 1 several times in order to identify a sufficient number of dose levels at which mutation frequency could be measured, without an unacceptable reduction in cell growth or survival. Final doses were up to 450 </w:t>
      </w:r>
      <w:r>
        <w:rPr>
          <w:rFonts w:cs="Arial"/>
          <w:lang w:eastAsia="en-AU" w:bidi="ar-SA"/>
        </w:rPr>
        <w:t>µ</w:t>
      </w:r>
      <w:r>
        <w:rPr>
          <w:lang w:eastAsia="en-AU" w:bidi="ar-SA"/>
        </w:rPr>
        <w:t xml:space="preserve">g/mL without S9 mix, and up to 800 </w:t>
      </w:r>
      <w:r>
        <w:rPr>
          <w:rFonts w:cs="Arial"/>
          <w:lang w:eastAsia="en-AU" w:bidi="ar-SA"/>
        </w:rPr>
        <w:t>µ</w:t>
      </w:r>
      <w:r>
        <w:rPr>
          <w:lang w:eastAsia="en-AU" w:bidi="ar-SA"/>
        </w:rPr>
        <w:t>g/mL with S9 mix. No significant</w:t>
      </w:r>
      <w:r w:rsidR="00992507">
        <w:rPr>
          <w:lang w:eastAsia="en-AU" w:bidi="ar-SA"/>
        </w:rPr>
        <w:t xml:space="preserve"> increase in mutation frequency, as compared to negative controls, was observed. </w:t>
      </w:r>
    </w:p>
    <w:p w14:paraId="1484C39F" w14:textId="77777777" w:rsidR="002B3C8A" w:rsidRDefault="002B3C8A" w:rsidP="002B3C8A">
      <w:pPr>
        <w:rPr>
          <w:lang w:eastAsia="en-AU" w:bidi="ar-SA"/>
        </w:rPr>
      </w:pPr>
    </w:p>
    <w:p w14:paraId="72F80F7D" w14:textId="2509D68A" w:rsidR="00992507" w:rsidRDefault="00992507" w:rsidP="002B3C8A">
      <w:pPr>
        <w:rPr>
          <w:lang w:eastAsia="en-AU" w:bidi="ar-SA"/>
        </w:rPr>
      </w:pPr>
      <w:r>
        <w:rPr>
          <w:lang w:eastAsia="en-AU" w:bidi="ar-SA"/>
        </w:rPr>
        <w:t xml:space="preserve">In Experiment 2, dose levels of up to 250 </w:t>
      </w:r>
      <w:r>
        <w:rPr>
          <w:rFonts w:cs="Arial"/>
          <w:lang w:eastAsia="en-AU" w:bidi="ar-SA"/>
        </w:rPr>
        <w:t>µ</w:t>
      </w:r>
      <w:r>
        <w:rPr>
          <w:lang w:eastAsia="en-AU" w:bidi="ar-SA"/>
        </w:rPr>
        <w:t>g/mL showed no cytotoxicity</w:t>
      </w:r>
      <w:r w:rsidR="008F3095">
        <w:rPr>
          <w:lang w:eastAsia="en-AU" w:bidi="ar-SA"/>
        </w:rPr>
        <w:t xml:space="preserve">. No significant increase in mutation frequency, as compared to negative controls, was observed. </w:t>
      </w:r>
    </w:p>
    <w:p w14:paraId="2F495BF8" w14:textId="390E745E" w:rsidR="00DF2069" w:rsidRPr="0015755E" w:rsidRDefault="008F3095" w:rsidP="002B3C8A">
      <w:pPr>
        <w:rPr>
          <w:lang w:eastAsia="en-AU" w:bidi="ar-SA"/>
        </w:rPr>
      </w:pPr>
      <w:r>
        <w:rPr>
          <w:lang w:eastAsia="en-AU" w:bidi="ar-SA"/>
        </w:rPr>
        <w:t xml:space="preserve">In all experiments, the spontaneous mutation frequencies in the control cultures were within acceptably criteria relative to historical control data. Mutation frequencies were increased 7- to 10-fold in the presence of positive control chemicals, confirming the validity of the assay. It was concluded that the test article was not mutagenic in the TK mutation test system under the conditions of the study.  </w:t>
      </w:r>
    </w:p>
    <w:p w14:paraId="2EDE51C5" w14:textId="60D266A5" w:rsidR="00AA2C10" w:rsidRDefault="001A57F4" w:rsidP="00A9190F">
      <w:pPr>
        <w:pStyle w:val="Heading3"/>
      </w:pPr>
      <w:bookmarkStart w:id="110" w:name="_Toc43217058"/>
      <w:bookmarkStart w:id="111" w:name="_Toc44401543"/>
      <w:bookmarkStart w:id="112" w:name="_Toc45284295"/>
      <w:bookmarkStart w:id="113" w:name="_Toc46929418"/>
      <w:r>
        <w:t>4</w:t>
      </w:r>
      <w:r w:rsidR="00AA2C10" w:rsidRPr="00AA2C10">
        <w:t>.2.7 Developmental and reproductive toxicity studies in animals</w:t>
      </w:r>
      <w:bookmarkEnd w:id="110"/>
      <w:bookmarkEnd w:id="111"/>
      <w:bookmarkEnd w:id="112"/>
      <w:bookmarkEnd w:id="113"/>
    </w:p>
    <w:p w14:paraId="57EC774A" w14:textId="101BEF2A" w:rsidR="00054A95" w:rsidRDefault="00C04A58" w:rsidP="00E5735E">
      <w:pPr>
        <w:rPr>
          <w:lang w:eastAsia="en-AU" w:bidi="ar-SA"/>
        </w:rPr>
      </w:pPr>
      <w:r>
        <w:rPr>
          <w:lang w:eastAsia="en-AU" w:bidi="ar-SA"/>
        </w:rPr>
        <w:t>Unpublished study r</w:t>
      </w:r>
      <w:r w:rsidR="00E5735E">
        <w:rPr>
          <w:lang w:eastAsia="en-AU" w:bidi="ar-SA"/>
        </w:rPr>
        <w:t>eports of two GLP-compliant studies</w:t>
      </w:r>
      <w:r>
        <w:rPr>
          <w:lang w:eastAsia="en-AU" w:bidi="ar-SA"/>
        </w:rPr>
        <w:t xml:space="preserve"> were reviewed, together with the peer-reviewed paper</w:t>
      </w:r>
      <w:r w:rsidR="00E5735E">
        <w:rPr>
          <w:lang w:eastAsia="en-AU" w:bidi="ar-SA"/>
        </w:rPr>
        <w:t xml:space="preserve"> of Bitzer et al. (2018)</w:t>
      </w:r>
      <w:r>
        <w:rPr>
          <w:lang w:eastAsia="en-AU" w:bidi="ar-SA"/>
        </w:rPr>
        <w:t xml:space="preserve"> which summarizes both studies</w:t>
      </w:r>
      <w:r w:rsidR="00E5735E">
        <w:rPr>
          <w:lang w:eastAsia="en-AU" w:bidi="ar-SA"/>
        </w:rPr>
        <w:t>. For both studies, the test article</w:t>
      </w:r>
      <w:r w:rsidR="00D927F9">
        <w:rPr>
          <w:lang w:eastAsia="en-AU" w:bidi="ar-SA"/>
        </w:rPr>
        <w:t xml:space="preserve"> was AM-1, with a purity of 95%, with the balance composed of water, protein and lipids, and the vehicle control was water. Concentration and homogeneity of dose formulations, and stability of the test article in the vehicle, were confirmed by analysis. </w:t>
      </w:r>
    </w:p>
    <w:p w14:paraId="744DD3D1" w14:textId="77777777" w:rsidR="004847A7" w:rsidRDefault="004847A7" w:rsidP="00E5735E">
      <w:pPr>
        <w:rPr>
          <w:lang w:eastAsia="en-AU" w:bidi="ar-SA"/>
        </w:rPr>
      </w:pPr>
    </w:p>
    <w:p w14:paraId="02C0F0DA" w14:textId="3BEA4DDD" w:rsidR="00D927F9" w:rsidRDefault="00D927F9" w:rsidP="00E5735E">
      <w:pPr>
        <w:rPr>
          <w:lang w:eastAsia="en-AU" w:bidi="ar-SA"/>
        </w:rPr>
      </w:pPr>
    </w:p>
    <w:p w14:paraId="3D314BF7" w14:textId="77777777" w:rsidR="001B7BD8" w:rsidRDefault="001B7BD8">
      <w:pPr>
        <w:widowControl/>
        <w:rPr>
          <w:i/>
          <w:lang w:eastAsia="en-AU" w:bidi="ar-SA"/>
        </w:rPr>
      </w:pPr>
      <w:r>
        <w:rPr>
          <w:i/>
          <w:lang w:eastAsia="en-AU" w:bidi="ar-SA"/>
        </w:rPr>
        <w:br w:type="page"/>
      </w:r>
    </w:p>
    <w:p w14:paraId="26B9ED9B" w14:textId="2A4BE8DE" w:rsidR="00D927F9" w:rsidRDefault="00D927F9" w:rsidP="00E5735E">
      <w:pPr>
        <w:rPr>
          <w:i/>
          <w:lang w:eastAsia="en-AU" w:bidi="ar-SA"/>
        </w:rPr>
      </w:pPr>
      <w:r w:rsidRPr="00D927F9">
        <w:rPr>
          <w:i/>
          <w:lang w:eastAsia="en-AU" w:bidi="ar-SA"/>
        </w:rPr>
        <w:t xml:space="preserve">Oral gavage developmental toxicity study of glycolipids from </w:t>
      </w:r>
      <w:r w:rsidRPr="00167A89">
        <w:rPr>
          <w:lang w:eastAsia="en-AU" w:bidi="ar-SA"/>
        </w:rPr>
        <w:t>Dacryopinax spathularia</w:t>
      </w:r>
      <w:r w:rsidRPr="00D927F9">
        <w:rPr>
          <w:i/>
          <w:lang w:eastAsia="en-AU" w:bidi="ar-SA"/>
        </w:rPr>
        <w:t xml:space="preserve"> in Sprague Dawley rats (Charles River Laboratories 2017; </w:t>
      </w:r>
      <w:r w:rsidRPr="00F67A5A">
        <w:rPr>
          <w:i/>
          <w:lang w:eastAsia="en-AU" w:bidi="ar-SA"/>
        </w:rPr>
        <w:t>Bitzer et al. 2018</w:t>
      </w:r>
      <w:r w:rsidRPr="00D927F9">
        <w:rPr>
          <w:i/>
          <w:lang w:eastAsia="en-AU" w:bidi="ar-SA"/>
        </w:rPr>
        <w:t xml:space="preserve">). Regulatory status: GLP; conducted in accordance with </w:t>
      </w:r>
      <w:r>
        <w:rPr>
          <w:i/>
          <w:lang w:eastAsia="en-AU" w:bidi="ar-SA"/>
        </w:rPr>
        <w:t xml:space="preserve">OECD Guideline 414 and US FDA Redbook IV.C.9.b. </w:t>
      </w:r>
    </w:p>
    <w:p w14:paraId="77DBB94D" w14:textId="77777777" w:rsidR="00212625" w:rsidRDefault="00212625" w:rsidP="00E5735E">
      <w:pPr>
        <w:rPr>
          <w:i/>
          <w:lang w:eastAsia="en-AU" w:bidi="ar-SA"/>
        </w:rPr>
      </w:pPr>
    </w:p>
    <w:p w14:paraId="33BEF176" w14:textId="1DD032E0" w:rsidR="00D927F9" w:rsidRDefault="00167A89" w:rsidP="00E5735E">
      <w:pPr>
        <w:rPr>
          <w:lang w:eastAsia="en-AU" w:bidi="ar-SA"/>
        </w:rPr>
      </w:pPr>
      <w:r>
        <w:rPr>
          <w:lang w:eastAsia="en-AU" w:bidi="ar-SA"/>
        </w:rPr>
        <w:t xml:space="preserve">Doses selected for this study, on the basis of </w:t>
      </w:r>
      <w:r w:rsidR="00212625">
        <w:rPr>
          <w:lang w:eastAsia="en-AU" w:bidi="ar-SA"/>
        </w:rPr>
        <w:t xml:space="preserve">range-finding </w:t>
      </w:r>
      <w:r>
        <w:rPr>
          <w:lang w:eastAsia="en-AU" w:bidi="ar-SA"/>
        </w:rPr>
        <w:t>experiments, were 0, 150, 500 and 1000 mg/kg</w:t>
      </w:r>
      <w:r w:rsidR="003D2781">
        <w:rPr>
          <w:lang w:eastAsia="en-AU" w:bidi="ar-SA"/>
        </w:rPr>
        <w:t xml:space="preserve"> bw/</w:t>
      </w:r>
      <w:r>
        <w:rPr>
          <w:lang w:eastAsia="en-AU" w:bidi="ar-SA"/>
        </w:rPr>
        <w:t xml:space="preserve">day, and group sizes were 24 females/group. Female rats were 71-89 days of age at acquisition and were acclimatized to standard laboratory environmental conditions for at least 7 days prior to study start. Male rats were untreated rats already resident in the laboratory. Rats were pair-housed for mating and female rats were then individually housed. Food and water were provided </w:t>
      </w:r>
      <w:r w:rsidRPr="00167A89">
        <w:rPr>
          <w:i/>
          <w:lang w:eastAsia="en-AU" w:bidi="ar-SA"/>
        </w:rPr>
        <w:t>ad libitum</w:t>
      </w:r>
      <w:r>
        <w:rPr>
          <w:lang w:eastAsia="en-AU" w:bidi="ar-SA"/>
        </w:rPr>
        <w:t>. Dosing by once-daily oral gavage, at a dose volume of 10 mL/kg, was conducted on Gestation Day (GD) 6 through to 19 inclusive.</w:t>
      </w:r>
    </w:p>
    <w:p w14:paraId="2B455679" w14:textId="5AAA40FB" w:rsidR="00167A89" w:rsidRDefault="00167A89" w:rsidP="00E5735E">
      <w:pPr>
        <w:rPr>
          <w:lang w:eastAsia="en-AU" w:bidi="ar-SA"/>
        </w:rPr>
      </w:pPr>
    </w:p>
    <w:p w14:paraId="508BB992" w14:textId="70DAFED0" w:rsidR="00167A89" w:rsidRDefault="00E2718E" w:rsidP="00E5735E">
      <w:pPr>
        <w:rPr>
          <w:lang w:eastAsia="en-AU" w:bidi="ar-SA"/>
        </w:rPr>
      </w:pPr>
      <w:r>
        <w:rPr>
          <w:lang w:eastAsia="en-AU" w:bidi="ar-SA"/>
        </w:rPr>
        <w:t>All rats were subject to twice-daily cageside checks for mortality/moribundity throughout the study, and cageside observations were recorded daily on GD 0-20, prior to dosing on GD 6-19. Rats were subject to an additional cageside observation between 1 and 2 hours after dose administration on GD 6-19. Bodyweights and food consumption were recorded on GD 0, and daily from GD 6-20 inclusive. On GD 20, each rat was killed by CO</w:t>
      </w:r>
      <w:r>
        <w:rPr>
          <w:vertAlign w:val="subscript"/>
          <w:lang w:eastAsia="en-AU" w:bidi="ar-SA"/>
        </w:rPr>
        <w:t xml:space="preserve">2 </w:t>
      </w:r>
      <w:r>
        <w:rPr>
          <w:lang w:eastAsia="en-AU" w:bidi="ar-SA"/>
        </w:rPr>
        <w:t>inhalation</w:t>
      </w:r>
      <w:r w:rsidR="00B023A8">
        <w:rPr>
          <w:lang w:eastAsia="en-AU" w:bidi="ar-SA"/>
        </w:rPr>
        <w:t>, and were subject to gross necropsy</w:t>
      </w:r>
      <w:r>
        <w:rPr>
          <w:lang w:eastAsia="en-AU" w:bidi="ar-SA"/>
        </w:rPr>
        <w:t xml:space="preserve"> </w:t>
      </w:r>
      <w:r w:rsidR="00B023A8">
        <w:rPr>
          <w:lang w:eastAsia="en-AU" w:bidi="ar-SA"/>
        </w:rPr>
        <w:t>and laparohysterectomy. Uteri, placentae and fetuses were examined. Parameters recorded included number of fetuses, early and late resorptions, total implantations, number</w:t>
      </w:r>
      <w:r w:rsidR="001E5330">
        <w:rPr>
          <w:lang w:eastAsia="en-AU" w:bidi="ar-SA"/>
        </w:rPr>
        <w:t>s</w:t>
      </w:r>
      <w:r w:rsidR="00B023A8">
        <w:rPr>
          <w:lang w:eastAsia="en-AU" w:bidi="ar-SA"/>
        </w:rPr>
        <w:t xml:space="preserve"> of corpora lutea, g</w:t>
      </w:r>
      <w:r w:rsidR="001E5330">
        <w:rPr>
          <w:lang w:eastAsia="en-AU" w:bidi="ar-SA"/>
        </w:rPr>
        <w:t>r</w:t>
      </w:r>
      <w:r w:rsidR="00B023A8">
        <w:rPr>
          <w:lang w:eastAsia="en-AU" w:bidi="ar-SA"/>
        </w:rPr>
        <w:t xml:space="preserve">avid uterine weights, </w:t>
      </w:r>
      <w:r w:rsidR="00BB4E74">
        <w:rPr>
          <w:lang w:eastAsia="en-AU" w:bidi="ar-SA"/>
        </w:rPr>
        <w:t xml:space="preserve"> </w:t>
      </w:r>
      <w:r w:rsidR="00B023A8">
        <w:rPr>
          <w:lang w:eastAsia="en-AU" w:bidi="ar-SA"/>
        </w:rPr>
        <w:t>body weights</w:t>
      </w:r>
      <w:r w:rsidR="00BB4E74">
        <w:rPr>
          <w:lang w:eastAsia="en-AU" w:bidi="ar-SA"/>
        </w:rPr>
        <w:t xml:space="preserve"> (excluding uterine weight)</w:t>
      </w:r>
      <w:r w:rsidR="00B023A8">
        <w:rPr>
          <w:lang w:eastAsia="en-AU" w:bidi="ar-SA"/>
        </w:rPr>
        <w:t xml:space="preserve">, fetal weights, and fetal sexes. Fetuses were examined for external, visceral and skeletal malformations and variations. </w:t>
      </w:r>
    </w:p>
    <w:p w14:paraId="6B5FF63D" w14:textId="6A1BA387" w:rsidR="00B023A8" w:rsidRDefault="00B023A8" w:rsidP="00E5735E">
      <w:pPr>
        <w:rPr>
          <w:lang w:eastAsia="en-AU" w:bidi="ar-SA"/>
        </w:rPr>
      </w:pPr>
    </w:p>
    <w:p w14:paraId="415D5E2A" w14:textId="0D461D21" w:rsidR="00B023A8" w:rsidRDefault="00B023A8" w:rsidP="00E5735E">
      <w:pPr>
        <w:rPr>
          <w:lang w:eastAsia="en-AU" w:bidi="ar-SA"/>
        </w:rPr>
      </w:pPr>
      <w:r>
        <w:rPr>
          <w:lang w:eastAsia="en-AU" w:bidi="ar-SA"/>
        </w:rPr>
        <w:t xml:space="preserve">All females survived to scheduled necropsy on GD 20. There was a dose-related transient increase in respiratory noise (rales) and/or clear material around the nose and mouth 1-2 h after dosing, which was considered to be treatment-related but not adverse. The observations were attributed to the </w:t>
      </w:r>
      <w:r w:rsidR="00390C39">
        <w:rPr>
          <w:lang w:eastAsia="en-AU" w:bidi="ar-SA"/>
        </w:rPr>
        <w:t>surfactant</w:t>
      </w:r>
      <w:r>
        <w:rPr>
          <w:lang w:eastAsia="en-AU" w:bidi="ar-SA"/>
        </w:rPr>
        <w:t xml:space="preserve"> properties of the dose formulations. Treatment had no significant effect on group mean maternal body weights, bodyweight gains, body weights, </w:t>
      </w:r>
      <w:r w:rsidR="00B3265D">
        <w:rPr>
          <w:lang w:eastAsia="en-AU" w:bidi="ar-SA"/>
        </w:rPr>
        <w:t xml:space="preserve">or </w:t>
      </w:r>
      <w:r>
        <w:rPr>
          <w:lang w:eastAsia="en-AU" w:bidi="ar-SA"/>
        </w:rPr>
        <w:t>bodyweight gains</w:t>
      </w:r>
      <w:r w:rsidR="00B3265D">
        <w:rPr>
          <w:lang w:eastAsia="en-AU" w:bidi="ar-SA"/>
        </w:rPr>
        <w:t xml:space="preserve">, although group mean maternal food consumption of the 1000 mg/kg bw/day group was significantly lower than that of controls on GD 6-9 and GD 15-20. The lower food consumption during these intervals was considered to be non-adverse because there was no effect on bodyweight or bodyweight gain. The 500 mg/kg bw/day group also exhibited lower group mean food consumption than that of controls during the interval GD 15-20, and this was also considered to be non-adverse because there was no effect on bodyweight or bodyweight gain. </w:t>
      </w:r>
    </w:p>
    <w:p w14:paraId="6273F2DF" w14:textId="0C0C3354" w:rsidR="00B3265D" w:rsidRDefault="00B3265D" w:rsidP="00E5735E">
      <w:pPr>
        <w:rPr>
          <w:lang w:eastAsia="en-AU" w:bidi="ar-SA"/>
        </w:rPr>
      </w:pPr>
    </w:p>
    <w:p w14:paraId="0234768A" w14:textId="53C3F93E" w:rsidR="00694E81" w:rsidRDefault="00B3265D" w:rsidP="00E5735E">
      <w:pPr>
        <w:rPr>
          <w:lang w:eastAsia="en-AU" w:bidi="ar-SA"/>
        </w:rPr>
      </w:pPr>
      <w:r>
        <w:rPr>
          <w:lang w:eastAsia="en-AU" w:bidi="ar-SA"/>
        </w:rPr>
        <w:t xml:space="preserve">Treatment had no effect on gross necropsy findings, </w:t>
      </w:r>
      <w:r w:rsidR="00694E81">
        <w:rPr>
          <w:lang w:eastAsia="en-AU" w:bidi="ar-SA"/>
        </w:rPr>
        <w:t xml:space="preserve">or group mean values for </w:t>
      </w:r>
      <w:r>
        <w:rPr>
          <w:lang w:eastAsia="en-AU" w:bidi="ar-SA"/>
        </w:rPr>
        <w:t xml:space="preserve">intrauterine growth, fetal survival, </w:t>
      </w:r>
      <w:r w:rsidR="00FE5E75">
        <w:rPr>
          <w:lang w:eastAsia="en-AU" w:bidi="ar-SA"/>
        </w:rPr>
        <w:t>post</w:t>
      </w:r>
      <w:r w:rsidR="002E71A2">
        <w:rPr>
          <w:lang w:eastAsia="en-AU" w:bidi="ar-SA"/>
        </w:rPr>
        <w:t>-</w:t>
      </w:r>
      <w:r w:rsidR="00FE5E75">
        <w:rPr>
          <w:lang w:eastAsia="en-AU" w:bidi="ar-SA"/>
        </w:rPr>
        <w:t>implantation lo</w:t>
      </w:r>
      <w:r>
        <w:rPr>
          <w:lang w:eastAsia="en-AU" w:bidi="ar-SA"/>
        </w:rPr>
        <w:t xml:space="preserve">ss, litter size, </w:t>
      </w:r>
      <w:r w:rsidR="00694E81">
        <w:rPr>
          <w:lang w:eastAsia="en-AU" w:bidi="ar-SA"/>
        </w:rPr>
        <w:t>fetal bodyweight, fetal sex ratios, numbers of corpora lutea or implantation sites, pre-implantation loss, or gravid uterine weight. No external developmental malformations or variations were observed in any fetuses, and no test article-related developmental variations were noted in either viscera or skeletons.</w:t>
      </w:r>
    </w:p>
    <w:p w14:paraId="1D6E51CB" w14:textId="77777777" w:rsidR="00694E81" w:rsidRDefault="00694E81" w:rsidP="00E5735E">
      <w:pPr>
        <w:rPr>
          <w:lang w:eastAsia="en-AU" w:bidi="ar-SA"/>
        </w:rPr>
      </w:pPr>
    </w:p>
    <w:p w14:paraId="4B19D736" w14:textId="7792DC61" w:rsidR="00B3265D" w:rsidRPr="00E2718E" w:rsidRDefault="00694E81" w:rsidP="00E5735E">
      <w:pPr>
        <w:rPr>
          <w:lang w:eastAsia="en-AU" w:bidi="ar-SA"/>
        </w:rPr>
      </w:pPr>
      <w:r>
        <w:rPr>
          <w:lang w:eastAsia="en-AU" w:bidi="ar-SA"/>
        </w:rPr>
        <w:t>It was concluded that the highest dose level, 1000 mg/kg bw/day, was the NOAEL for maternal toxicity and embryo</w:t>
      </w:r>
      <w:r w:rsidR="00D36F28">
        <w:rPr>
          <w:lang w:eastAsia="en-AU" w:bidi="ar-SA"/>
        </w:rPr>
        <w:t>/fetal developmental toxicity.</w:t>
      </w:r>
    </w:p>
    <w:p w14:paraId="0163189D" w14:textId="134A398D" w:rsidR="00167A89" w:rsidRDefault="00167A89" w:rsidP="00E5735E">
      <w:pPr>
        <w:rPr>
          <w:lang w:eastAsia="en-AU" w:bidi="ar-SA"/>
        </w:rPr>
      </w:pPr>
    </w:p>
    <w:p w14:paraId="218E8342" w14:textId="77777777" w:rsidR="004847A7" w:rsidRDefault="004847A7" w:rsidP="00E5735E">
      <w:pPr>
        <w:rPr>
          <w:lang w:eastAsia="en-AU" w:bidi="ar-SA"/>
        </w:rPr>
      </w:pPr>
    </w:p>
    <w:p w14:paraId="1B72C1F5" w14:textId="77777777" w:rsidR="00C04A58" w:rsidRDefault="00C04A58" w:rsidP="00C04A58">
      <w:pPr>
        <w:rPr>
          <w:i/>
          <w:lang w:eastAsia="en-AU" w:bidi="ar-SA"/>
        </w:rPr>
      </w:pPr>
      <w:r w:rsidRPr="00D927F9">
        <w:rPr>
          <w:i/>
          <w:lang w:eastAsia="en-AU" w:bidi="ar-SA"/>
        </w:rPr>
        <w:t xml:space="preserve">Oral gavage </w:t>
      </w:r>
      <w:r>
        <w:rPr>
          <w:i/>
          <w:lang w:eastAsia="en-AU" w:bidi="ar-SA"/>
        </w:rPr>
        <w:t>two-generation reproductive</w:t>
      </w:r>
      <w:r w:rsidRPr="00D927F9">
        <w:rPr>
          <w:i/>
          <w:lang w:eastAsia="en-AU" w:bidi="ar-SA"/>
        </w:rPr>
        <w:t xml:space="preserve"> toxicity study of glycolipids from </w:t>
      </w:r>
      <w:r w:rsidRPr="00167A89">
        <w:rPr>
          <w:lang w:eastAsia="en-AU" w:bidi="ar-SA"/>
        </w:rPr>
        <w:t>Dacryopinax spathularia</w:t>
      </w:r>
      <w:r w:rsidRPr="00D927F9">
        <w:rPr>
          <w:i/>
          <w:lang w:eastAsia="en-AU" w:bidi="ar-SA"/>
        </w:rPr>
        <w:t xml:space="preserve"> in Sprague Dawley rats (Charles River Laboratories 201</w:t>
      </w:r>
      <w:r>
        <w:rPr>
          <w:i/>
          <w:lang w:eastAsia="en-AU" w:bidi="ar-SA"/>
        </w:rPr>
        <w:t>8</w:t>
      </w:r>
      <w:r w:rsidRPr="00D927F9">
        <w:rPr>
          <w:i/>
          <w:lang w:eastAsia="en-AU" w:bidi="ar-SA"/>
        </w:rPr>
        <w:t xml:space="preserve">; Bitzer et al. 2018). Regulatory status: GLP; conducted in accordance with </w:t>
      </w:r>
      <w:r>
        <w:rPr>
          <w:i/>
          <w:lang w:eastAsia="en-AU" w:bidi="ar-SA"/>
        </w:rPr>
        <w:t>OECD Guideline 416 and US FDA Redbook IV.C.9.</w:t>
      </w:r>
    </w:p>
    <w:p w14:paraId="7AE9CDAD" w14:textId="155C1DBB" w:rsidR="00C04A58" w:rsidRDefault="00C04A58" w:rsidP="00C04A58">
      <w:pPr>
        <w:rPr>
          <w:i/>
          <w:lang w:eastAsia="en-AU" w:bidi="ar-SA"/>
        </w:rPr>
      </w:pPr>
      <w:r>
        <w:rPr>
          <w:i/>
          <w:lang w:eastAsia="en-AU" w:bidi="ar-SA"/>
        </w:rPr>
        <w:t xml:space="preserve"> </w:t>
      </w:r>
    </w:p>
    <w:p w14:paraId="565B24F5" w14:textId="581D6CBF" w:rsidR="002464A0" w:rsidRDefault="00197EB4" w:rsidP="00E5735E">
      <w:pPr>
        <w:rPr>
          <w:lang w:eastAsia="en-AU" w:bidi="ar-SA"/>
        </w:rPr>
      </w:pPr>
      <w:r>
        <w:rPr>
          <w:lang w:eastAsia="en-AU" w:bidi="ar-SA"/>
        </w:rPr>
        <w:t>Test subjects for this study were male and female Sprague Dawley rats, approximately 30 days of age at receipt. Rats were acclimatized to standard laboratory environmental and husbandry conditions for 14 days prior to assignment to groups</w:t>
      </w:r>
      <w:r w:rsidR="004D75ED">
        <w:rPr>
          <w:lang w:eastAsia="en-AU" w:bidi="ar-SA"/>
        </w:rPr>
        <w:t xml:space="preserve"> of</w:t>
      </w:r>
      <w:r w:rsidR="00E352BB">
        <w:rPr>
          <w:lang w:eastAsia="en-AU" w:bidi="ar-SA"/>
        </w:rPr>
        <w:t xml:space="preserve"> 25/sex/group</w:t>
      </w:r>
      <w:r>
        <w:rPr>
          <w:lang w:eastAsia="en-AU" w:bidi="ar-SA"/>
        </w:rPr>
        <w:t xml:space="preserve">. Rats selected for the study were treated </w:t>
      </w:r>
      <w:r w:rsidR="003D2781">
        <w:rPr>
          <w:lang w:eastAsia="en-AU" w:bidi="ar-SA"/>
        </w:rPr>
        <w:t xml:space="preserve">by oral gavage </w:t>
      </w:r>
      <w:r>
        <w:rPr>
          <w:lang w:eastAsia="en-AU" w:bidi="ar-SA"/>
        </w:rPr>
        <w:t xml:space="preserve">with the test article or vehicle control, as appropriate, once daily for 70 days prior to mating, at a dose of 0, 150, 500 or 1000 mg/kg bw/day, at a dose volume of 10 mL/kg bw. Rats were paired for mating and females that had been bred were individually housed. </w:t>
      </w:r>
      <w:r w:rsidR="00FF44D6">
        <w:rPr>
          <w:lang w:eastAsia="en-AU" w:bidi="ar-SA"/>
        </w:rPr>
        <w:t>All parental rats (r</w:t>
      </w:r>
      <w:r w:rsidR="004D75ED">
        <w:rPr>
          <w:lang w:eastAsia="en-AU" w:bidi="ar-SA"/>
        </w:rPr>
        <w:t xml:space="preserve">ats in the </w:t>
      </w:r>
      <w:r w:rsidR="00FF44D6">
        <w:rPr>
          <w:lang w:eastAsia="en-AU" w:bidi="ar-SA"/>
        </w:rPr>
        <w:t>F0 (P) and F1 generations) were subject to mortality/moribundity checks twice daily, cageside clinical observations daily, and detailed clinical observations weekly. Bodyweights of males, unmated females, and females after their pups were weaned, were recorded weekly. Bodyweights of presumed pregnant females were recorded on GDs 0, 4, 7, 11, 14, 17 and 20, and bodyweights of lactating females were recorded on lactation days (</w:t>
      </w:r>
      <w:r w:rsidR="002464A0">
        <w:rPr>
          <w:lang w:eastAsia="en-AU" w:bidi="ar-SA"/>
        </w:rPr>
        <w:t>postnatal days, or PND</w:t>
      </w:r>
      <w:r w:rsidR="00FF44D6">
        <w:rPr>
          <w:lang w:eastAsia="en-AU" w:bidi="ar-SA"/>
        </w:rPr>
        <w:t xml:space="preserve">s) 1, 4, 11, 14, 17 and 21. Food consumption of males and nonpregnant, nonlactating females was recorded weekly. Food consumption of pregnant and lactating females was recorded according </w:t>
      </w:r>
      <w:r w:rsidR="003D2781">
        <w:rPr>
          <w:lang w:eastAsia="en-AU" w:bidi="ar-SA"/>
        </w:rPr>
        <w:t xml:space="preserve">to </w:t>
      </w:r>
      <w:r w:rsidR="00FF44D6">
        <w:rPr>
          <w:lang w:eastAsia="en-AU" w:bidi="ar-SA"/>
        </w:rPr>
        <w:t xml:space="preserve">the </w:t>
      </w:r>
      <w:r w:rsidR="00BB4E74">
        <w:rPr>
          <w:lang w:eastAsia="en-AU" w:bidi="ar-SA"/>
        </w:rPr>
        <w:t xml:space="preserve">same </w:t>
      </w:r>
      <w:r w:rsidR="00FF44D6">
        <w:rPr>
          <w:lang w:eastAsia="en-AU" w:bidi="ar-SA"/>
        </w:rPr>
        <w:t xml:space="preserve">schedule </w:t>
      </w:r>
      <w:r w:rsidR="00BB4E74">
        <w:rPr>
          <w:lang w:eastAsia="en-AU" w:bidi="ar-SA"/>
        </w:rPr>
        <w:t xml:space="preserve">as </w:t>
      </w:r>
      <w:r w:rsidR="00FF44D6">
        <w:rPr>
          <w:lang w:eastAsia="en-AU" w:bidi="ar-SA"/>
        </w:rPr>
        <w:t xml:space="preserve">bodyweights. F0 and F1 females were subject to vaginal lavage daily during cohabitation, until evidence of mating was observed, and on the day of necropsy. Reproductive indices calculated were male and female mating index, male and female fertility index, male copulation index, and female </w:t>
      </w:r>
      <w:r w:rsidR="00FD0129">
        <w:rPr>
          <w:lang w:eastAsia="en-AU" w:bidi="ar-SA"/>
        </w:rPr>
        <w:t>reproductive index. For both F1 and F</w:t>
      </w:r>
      <w:r w:rsidR="00C12356">
        <w:rPr>
          <w:lang w:eastAsia="en-AU" w:bidi="ar-SA"/>
        </w:rPr>
        <w:t>2</w:t>
      </w:r>
      <w:r w:rsidR="00FD0129">
        <w:rPr>
          <w:lang w:eastAsia="en-AU" w:bidi="ar-SA"/>
        </w:rPr>
        <w:t xml:space="preserve"> litters, pups were examined and sexed on the day of birth. Numbers of live and stillborn pups were recorded. Pups were individually marked by tattoo. Litters were examined twice daily for mortality, appearance and behaviour and pup deaths were recorded. </w:t>
      </w:r>
      <w:r w:rsidR="002464A0">
        <w:rPr>
          <w:lang w:eastAsia="en-AU" w:bidi="ar-SA"/>
        </w:rPr>
        <w:t xml:space="preserve">Litters were standardised to 8 pups/litter (4/sex, when possible) on PND 4. Detailed clinical observations were performed on each pup on PNDs 1, 4, 7, 14 and 21. Bodyweights were recorded on the same days and also on PND 11 and 17. The sex of each pup was recorded on PND 0 and verified on PNDs 4, 14 and 21. Litter parameters recorded or calculated for each group were mean live litter size, and postnatal survival (calculated for intervals). </w:t>
      </w:r>
      <w:r w:rsidR="00C12356">
        <w:rPr>
          <w:lang w:eastAsia="en-AU" w:bidi="ar-SA"/>
        </w:rPr>
        <w:t>F1 pups for breeding the second generation, 25/sex/group, were selected on PND 21</w:t>
      </w:r>
      <w:r w:rsidR="00BB4E74">
        <w:rPr>
          <w:lang w:eastAsia="en-AU" w:bidi="ar-SA"/>
        </w:rPr>
        <w:t>.</w:t>
      </w:r>
      <w:r w:rsidR="00C12356">
        <w:rPr>
          <w:lang w:eastAsia="en-AU" w:bidi="ar-SA"/>
        </w:rPr>
        <w:t xml:space="preserve"> </w:t>
      </w:r>
      <w:r w:rsidR="002464A0">
        <w:rPr>
          <w:lang w:eastAsia="en-AU" w:bidi="ar-SA"/>
        </w:rPr>
        <w:t xml:space="preserve">Balanopreputial separation of F1 males </w:t>
      </w:r>
      <w:r w:rsidR="00C12356">
        <w:rPr>
          <w:lang w:eastAsia="en-AU" w:bidi="ar-SA"/>
        </w:rPr>
        <w:t xml:space="preserve">selected for breeding </w:t>
      </w:r>
      <w:r w:rsidR="002464A0">
        <w:rPr>
          <w:lang w:eastAsia="en-AU" w:bidi="ar-SA"/>
        </w:rPr>
        <w:t xml:space="preserve">was evaluated by daily examination from PND 35, and vaginal patency in F1 females </w:t>
      </w:r>
      <w:r w:rsidR="00C12356">
        <w:rPr>
          <w:lang w:eastAsia="en-AU" w:bidi="ar-SA"/>
        </w:rPr>
        <w:t xml:space="preserve">selected for breeding </w:t>
      </w:r>
      <w:r w:rsidR="002464A0">
        <w:rPr>
          <w:lang w:eastAsia="en-AU" w:bidi="ar-SA"/>
        </w:rPr>
        <w:t xml:space="preserve">was evaluated by daily examination from PND 25. </w:t>
      </w:r>
    </w:p>
    <w:p w14:paraId="41517C5F" w14:textId="77777777" w:rsidR="00610335" w:rsidRDefault="00610335" w:rsidP="00E5735E">
      <w:pPr>
        <w:rPr>
          <w:lang w:eastAsia="en-AU" w:bidi="ar-SA"/>
        </w:rPr>
      </w:pPr>
    </w:p>
    <w:p w14:paraId="37151308" w14:textId="77777777" w:rsidR="00F41899" w:rsidRDefault="00C12356" w:rsidP="00E5735E">
      <w:pPr>
        <w:rPr>
          <w:lang w:eastAsia="en-AU" w:bidi="ar-SA"/>
        </w:rPr>
      </w:pPr>
      <w:r>
        <w:rPr>
          <w:lang w:eastAsia="en-AU" w:bidi="ar-SA"/>
        </w:rPr>
        <w:t xml:space="preserve">F1 pups not selected for breeding, and all F2 pups, were killed on PND 21. F0 rats of both sexes were dosed for 128-133 consecutive days and killed on the day after their final dose. F1 rats of both sexes were dosed for 138-148 consecutive days and killed on the day after their final dose. </w:t>
      </w:r>
      <w:r w:rsidR="002464A0">
        <w:rPr>
          <w:lang w:eastAsia="en-AU" w:bidi="ar-SA"/>
        </w:rPr>
        <w:t>All parental (F0 or F1) rats were subject to complete necropsy following scheduled termination</w:t>
      </w:r>
      <w:r>
        <w:rPr>
          <w:lang w:eastAsia="en-AU" w:bidi="ar-SA"/>
        </w:rPr>
        <w:t xml:space="preserve">, or if found dead. </w:t>
      </w:r>
      <w:r w:rsidR="002464A0">
        <w:rPr>
          <w:lang w:eastAsia="en-AU" w:bidi="ar-SA"/>
        </w:rPr>
        <w:t xml:space="preserve"> </w:t>
      </w:r>
      <w:r w:rsidR="008C4B3A">
        <w:rPr>
          <w:lang w:eastAsia="en-AU" w:bidi="ar-SA"/>
        </w:rPr>
        <w:t xml:space="preserve">Comprehensive lists of fresh organs, as sex-appropriate, were weighed at necropsy, and tissues were preserved for histopathological examination. Quantitative assessments of spermatogenesis were conducted for F0 and F1 males. Microscopic examination of tissues of F0 and F1 rats included, as appropriate for sex, brain, cervix, coagulating gland, </w:t>
      </w:r>
      <w:r w:rsidR="00F41899">
        <w:rPr>
          <w:lang w:eastAsia="en-AU" w:bidi="ar-SA"/>
        </w:rPr>
        <w:t xml:space="preserve">epididymis, kidneys, liver, female mammary gland, ovaries, pituitary, prostate, seminal vesicles, testis, uterus, vagina, vas deferens, and any gross lesions. F1 rats not selected for breeding and F2 rats were subject to gross necropsy with emphasis on developmental morphology and reproductive organs. Brain, spleen and thymus were weighed and preserved from 2 pups/sex/litter from rats killed on PND 21. </w:t>
      </w:r>
    </w:p>
    <w:p w14:paraId="3459C231" w14:textId="77777777" w:rsidR="00F41899" w:rsidRDefault="00F41899" w:rsidP="00E5735E">
      <w:pPr>
        <w:rPr>
          <w:lang w:eastAsia="en-AU" w:bidi="ar-SA"/>
        </w:rPr>
      </w:pPr>
    </w:p>
    <w:p w14:paraId="009B8C29" w14:textId="5FEE000F" w:rsidR="002464A0" w:rsidRDefault="00F41899" w:rsidP="00E5735E">
      <w:pPr>
        <w:rPr>
          <w:lang w:eastAsia="en-AU" w:bidi="ar-SA"/>
        </w:rPr>
      </w:pPr>
      <w:r>
        <w:rPr>
          <w:lang w:eastAsia="en-AU" w:bidi="ar-SA"/>
        </w:rPr>
        <w:t>There were no test article-related effects on survival. A small number of rats in the F0 and F1 gener</w:t>
      </w:r>
      <w:r w:rsidR="00E25081">
        <w:rPr>
          <w:lang w:eastAsia="en-AU" w:bidi="ar-SA"/>
        </w:rPr>
        <w:t>ations were found dead, but the</w:t>
      </w:r>
      <w:r>
        <w:rPr>
          <w:lang w:eastAsia="en-AU" w:bidi="ar-SA"/>
        </w:rPr>
        <w:t xml:space="preserve"> deaths showed no dose-response relationship, and causes of death included gavaging accident</w:t>
      </w:r>
      <w:r w:rsidR="00E25081">
        <w:rPr>
          <w:lang w:eastAsia="en-AU" w:bidi="ar-SA"/>
        </w:rPr>
        <w:t>s</w:t>
      </w:r>
      <w:r>
        <w:rPr>
          <w:lang w:eastAsia="en-AU" w:bidi="ar-SA"/>
        </w:rPr>
        <w:t>, dystocia</w:t>
      </w:r>
      <w:r w:rsidR="00E25081">
        <w:rPr>
          <w:lang w:eastAsia="en-AU" w:bidi="ar-SA"/>
        </w:rPr>
        <w:t xml:space="preserve"> and mechanical injury in the home cage. </w:t>
      </w:r>
      <w:r>
        <w:rPr>
          <w:lang w:eastAsia="en-AU" w:bidi="ar-SA"/>
        </w:rPr>
        <w:t xml:space="preserve"> </w:t>
      </w:r>
      <w:r w:rsidR="00E25081">
        <w:rPr>
          <w:lang w:eastAsia="en-AU" w:bidi="ar-SA"/>
        </w:rPr>
        <w:t>There were no treatment-related effects on body weights, bodyweight gains or food consumption in the F0 rats</w:t>
      </w:r>
      <w:r w:rsidR="008655C9">
        <w:rPr>
          <w:lang w:eastAsia="en-AU" w:bidi="ar-SA"/>
        </w:rPr>
        <w:t xml:space="preserve"> of either sex</w:t>
      </w:r>
      <w:r w:rsidR="00E25081">
        <w:rPr>
          <w:lang w:eastAsia="en-AU" w:bidi="ar-SA"/>
        </w:rPr>
        <w:t xml:space="preserve">; developmental landmarks in F1 pups; </w:t>
      </w:r>
      <w:r w:rsidR="008655C9">
        <w:rPr>
          <w:lang w:eastAsia="en-AU" w:bidi="ar-SA"/>
        </w:rPr>
        <w:t xml:space="preserve">group mean food consumption in F1 males; group mean bodyweights, bodyweight gains, or food consumption in F1 females; reproductive performance in F0 or F1 rats of either sex; gestation length, implantation sites, parturition or number of pups born in F0 or F1 females; results of spermatogenic evaluation in F0 or F1 males; gross or microscopic findings in F0 or F1 rats of either sex, including fresh organ weights and organ weight ratios; gross findings or organ weights of F1 or F2 pups terminated on their PND 21; or on litter data for either the F1 or F2 generation including mean number of pups born, mean litter size on PND0, sex ratio, postnatal survival, or group mean bodyweights or </w:t>
      </w:r>
      <w:r w:rsidR="00D762AD">
        <w:rPr>
          <w:lang w:eastAsia="en-AU" w:bidi="ar-SA"/>
        </w:rPr>
        <w:t xml:space="preserve">bodyweight changes. </w:t>
      </w:r>
      <w:r w:rsidR="008655C9">
        <w:rPr>
          <w:lang w:eastAsia="en-AU" w:bidi="ar-SA"/>
        </w:rPr>
        <w:t xml:space="preserve"> </w:t>
      </w:r>
    </w:p>
    <w:p w14:paraId="1EBBA746" w14:textId="40BBFE13" w:rsidR="00167A89" w:rsidRDefault="00167A89" w:rsidP="00E5735E">
      <w:pPr>
        <w:rPr>
          <w:lang w:eastAsia="en-AU" w:bidi="ar-SA"/>
        </w:rPr>
      </w:pPr>
    </w:p>
    <w:p w14:paraId="070F0602" w14:textId="445550AE" w:rsidR="00E25081" w:rsidRDefault="00E25081" w:rsidP="00E5735E">
      <w:pPr>
        <w:rPr>
          <w:lang w:eastAsia="en-AU" w:bidi="ar-SA"/>
        </w:rPr>
      </w:pPr>
      <w:r w:rsidRPr="00E25081">
        <w:rPr>
          <w:lang w:eastAsia="en-AU" w:bidi="ar-SA"/>
        </w:rPr>
        <w:t xml:space="preserve">Test article-related increases in incidence of respiratory noises (rales) and clear material around the nose and mouth were noted in all dose groups. These observations were transient and were not considered adverse, but attributed to the </w:t>
      </w:r>
      <w:r w:rsidR="00390C39">
        <w:rPr>
          <w:lang w:eastAsia="en-AU" w:bidi="ar-SA"/>
        </w:rPr>
        <w:t>surfactant</w:t>
      </w:r>
      <w:r w:rsidRPr="00E25081">
        <w:rPr>
          <w:lang w:eastAsia="en-AU" w:bidi="ar-SA"/>
        </w:rPr>
        <w:t xml:space="preserve"> properties of the test article.</w:t>
      </w:r>
      <w:r>
        <w:rPr>
          <w:lang w:eastAsia="en-AU" w:bidi="ar-SA"/>
        </w:rPr>
        <w:t xml:space="preserve"> Test article-related reductions, relative to those of controls, in group mean bodyweight gain were observed in F1 males in the interval PND 21-28, which was the first week of gavage dosing for these rats. These findings were not considered adverse because subsequent bodyweight gains were comparable to those of corresponding male controls. </w:t>
      </w:r>
    </w:p>
    <w:p w14:paraId="6A3F1511" w14:textId="03B34678" w:rsidR="00D762AD" w:rsidRDefault="00D762AD" w:rsidP="00E5735E">
      <w:pPr>
        <w:rPr>
          <w:lang w:eastAsia="en-AU" w:bidi="ar-SA"/>
        </w:rPr>
      </w:pPr>
    </w:p>
    <w:p w14:paraId="0FA31475" w14:textId="3D846231" w:rsidR="00D762AD" w:rsidRDefault="00D762AD" w:rsidP="00E5735E">
      <w:pPr>
        <w:rPr>
          <w:lang w:eastAsia="en-AU" w:bidi="ar-SA"/>
        </w:rPr>
      </w:pPr>
      <w:r>
        <w:rPr>
          <w:lang w:eastAsia="en-AU" w:bidi="ar-SA"/>
        </w:rPr>
        <w:t xml:space="preserve">It was concluded that the highest dose administered, 1000 mg/kg bw/day, was the NOAEL for parental toxicity, reproductive toxicity and toxicity to offspring. </w:t>
      </w:r>
    </w:p>
    <w:p w14:paraId="21F3C464" w14:textId="356F3EB8" w:rsidR="00AA2C10" w:rsidRDefault="001A57F4" w:rsidP="00A9190F">
      <w:pPr>
        <w:pStyle w:val="Heading3"/>
      </w:pPr>
      <w:bookmarkStart w:id="114" w:name="_Toc44401544"/>
      <w:bookmarkStart w:id="115" w:name="_Toc45284296"/>
      <w:bookmarkStart w:id="116" w:name="_Toc46929419"/>
      <w:bookmarkStart w:id="117" w:name="_Toc43217059"/>
      <w:r>
        <w:t>4</w:t>
      </w:r>
      <w:r w:rsidR="00AA2C10" w:rsidRPr="00AA2C10">
        <w:t>.2.8 Special studies</w:t>
      </w:r>
      <w:bookmarkEnd w:id="114"/>
      <w:bookmarkEnd w:id="115"/>
      <w:bookmarkEnd w:id="116"/>
      <w:r w:rsidR="00AA2C10" w:rsidRPr="00AA2C10">
        <w:t xml:space="preserve"> </w:t>
      </w:r>
      <w:bookmarkEnd w:id="117"/>
    </w:p>
    <w:p w14:paraId="76D411C4" w14:textId="1804EB12" w:rsidR="002B3C8A" w:rsidRDefault="007A3D5C" w:rsidP="002B3C8A">
      <w:pPr>
        <w:rPr>
          <w:rFonts w:cs="Arial"/>
          <w:lang w:eastAsia="en-AU" w:bidi="ar-SA"/>
        </w:rPr>
      </w:pPr>
      <w:r w:rsidRPr="007A3D5C">
        <w:rPr>
          <w:lang w:eastAsia="en-AU" w:bidi="ar-SA"/>
        </w:rPr>
        <w:t xml:space="preserve">A number </w:t>
      </w:r>
      <w:r>
        <w:rPr>
          <w:lang w:eastAsia="en-AU" w:bidi="ar-SA"/>
        </w:rPr>
        <w:t xml:space="preserve">of </w:t>
      </w:r>
      <w:r w:rsidR="00E71448">
        <w:rPr>
          <w:lang w:eastAsia="en-AU" w:bidi="ar-SA"/>
        </w:rPr>
        <w:t xml:space="preserve">unpublished </w:t>
      </w:r>
      <w:r>
        <w:rPr>
          <w:lang w:eastAsia="en-AU" w:bidi="ar-SA"/>
        </w:rPr>
        <w:t>stud</w:t>
      </w:r>
      <w:r w:rsidR="00E71448">
        <w:rPr>
          <w:lang w:eastAsia="en-AU" w:bidi="ar-SA"/>
        </w:rPr>
        <w:t>y reports</w:t>
      </w:r>
      <w:r>
        <w:rPr>
          <w:lang w:eastAsia="en-AU" w:bidi="ar-SA"/>
        </w:rPr>
        <w:t xml:space="preserve">, </w:t>
      </w:r>
      <w:r w:rsidR="00E71448">
        <w:rPr>
          <w:lang w:eastAsia="en-AU" w:bidi="ar-SA"/>
        </w:rPr>
        <w:t xml:space="preserve">of </w:t>
      </w:r>
      <w:r w:rsidR="006F7B7F" w:rsidRPr="006F7B7F">
        <w:rPr>
          <w:i/>
          <w:lang w:eastAsia="en-AU" w:bidi="ar-SA"/>
        </w:rPr>
        <w:t>in vitro</w:t>
      </w:r>
      <w:r w:rsidR="006F7B7F">
        <w:rPr>
          <w:lang w:eastAsia="en-AU" w:bidi="ar-SA"/>
        </w:rPr>
        <w:t xml:space="preserve"> and </w:t>
      </w:r>
      <w:r w:rsidR="006F7B7F" w:rsidRPr="006F7B7F">
        <w:rPr>
          <w:i/>
          <w:lang w:eastAsia="en-AU" w:bidi="ar-SA"/>
        </w:rPr>
        <w:t>in vivo</w:t>
      </w:r>
      <w:r w:rsidR="006F7B7F">
        <w:rPr>
          <w:lang w:eastAsia="en-AU" w:bidi="ar-SA"/>
        </w:rPr>
        <w:t xml:space="preserve"> </w:t>
      </w:r>
      <w:r w:rsidR="00E71448">
        <w:rPr>
          <w:lang w:eastAsia="en-AU" w:bidi="ar-SA"/>
        </w:rPr>
        <w:t xml:space="preserve">studies performed </w:t>
      </w:r>
      <w:r>
        <w:rPr>
          <w:lang w:eastAsia="en-AU" w:bidi="ar-SA"/>
        </w:rPr>
        <w:t xml:space="preserve">by routes of administration other than the oral route, were also provided. </w:t>
      </w:r>
      <w:r w:rsidR="00E71448">
        <w:rPr>
          <w:lang w:eastAsia="en-AU" w:bidi="ar-SA"/>
        </w:rPr>
        <w:t xml:space="preserve">Summaries of the studies are also summarized in the peer-reviewed literature in the publication of </w:t>
      </w:r>
      <w:r w:rsidR="00E71448" w:rsidRPr="00DE55E9">
        <w:rPr>
          <w:lang w:eastAsia="en-AU" w:bidi="ar-SA"/>
        </w:rPr>
        <w:t>Bitzer et al (2017b).</w:t>
      </w:r>
      <w:r>
        <w:rPr>
          <w:lang w:eastAsia="en-AU" w:bidi="ar-SA"/>
        </w:rPr>
        <w:t xml:space="preserve">These studies  are not relevant to the safety of </w:t>
      </w:r>
      <w:r w:rsidR="00003B29" w:rsidRPr="00003B29">
        <w:rPr>
          <w:lang w:eastAsia="en-AU" w:bidi="ar-SA"/>
        </w:rPr>
        <w:t xml:space="preserve">jelly mushroom glycolipids </w:t>
      </w:r>
      <w:r>
        <w:rPr>
          <w:lang w:eastAsia="en-AU" w:bidi="ar-SA"/>
        </w:rPr>
        <w:t xml:space="preserve">to the consumer, under the conditions of </w:t>
      </w:r>
      <w:r w:rsidR="00E71448">
        <w:rPr>
          <w:lang w:eastAsia="en-AU" w:bidi="ar-SA"/>
        </w:rPr>
        <w:t xml:space="preserve">use proposed by the applicant. </w:t>
      </w:r>
      <w:r w:rsidR="006F7B7F">
        <w:rPr>
          <w:lang w:eastAsia="en-AU" w:bidi="ar-SA"/>
        </w:rPr>
        <w:t>Briefly,</w:t>
      </w:r>
      <w:r w:rsidR="00B56FB5">
        <w:rPr>
          <w:lang w:eastAsia="en-AU" w:bidi="ar-SA"/>
        </w:rPr>
        <w:t xml:space="preserve"> the studies cover dermal toxicity, ocular toxicity and phototoxicity. </w:t>
      </w:r>
      <w:r w:rsidR="00553AD2">
        <w:rPr>
          <w:lang w:eastAsia="en-AU" w:bidi="ar-SA"/>
        </w:rPr>
        <w:t>In most studies t</w:t>
      </w:r>
      <w:r w:rsidR="00B56FB5">
        <w:rPr>
          <w:lang w:eastAsia="en-AU" w:bidi="ar-SA"/>
        </w:rPr>
        <w:t xml:space="preserve">he </w:t>
      </w:r>
      <w:r w:rsidR="00003B29" w:rsidRPr="00003B29">
        <w:rPr>
          <w:lang w:eastAsia="en-AU" w:bidi="ar-SA"/>
        </w:rPr>
        <w:t xml:space="preserve">jelly mushroom glycolipids </w:t>
      </w:r>
      <w:r w:rsidR="005329F9">
        <w:rPr>
          <w:lang w:eastAsia="en-AU" w:bidi="ar-SA"/>
        </w:rPr>
        <w:t xml:space="preserve">preparation was </w:t>
      </w:r>
      <w:r w:rsidR="00553AD2">
        <w:rPr>
          <w:lang w:eastAsia="en-AU" w:bidi="ar-SA"/>
        </w:rPr>
        <w:t xml:space="preserve">characterised as either IM 11 Grade A or IMD-AM 1, and when purity was reported, it was stated to be </w:t>
      </w:r>
      <w:r w:rsidR="00553AD2">
        <w:rPr>
          <w:rFonts w:cs="Arial"/>
          <w:lang w:eastAsia="en-AU" w:bidi="ar-SA"/>
        </w:rPr>
        <w:t>&gt; 99%. The test article was found to be</w:t>
      </w:r>
      <w:r w:rsidR="00777FF7">
        <w:rPr>
          <w:rFonts w:cs="Arial"/>
          <w:lang w:eastAsia="en-AU" w:bidi="ar-SA"/>
        </w:rPr>
        <w:t xml:space="preserve"> </w:t>
      </w:r>
      <w:r w:rsidR="00553AD2">
        <w:rPr>
          <w:rFonts w:cs="Arial"/>
          <w:lang w:eastAsia="en-AU" w:bidi="ar-SA"/>
        </w:rPr>
        <w:t>non-</w:t>
      </w:r>
      <w:r w:rsidR="00D65C44">
        <w:rPr>
          <w:rFonts w:cs="Arial"/>
          <w:lang w:eastAsia="en-AU" w:bidi="ar-SA"/>
        </w:rPr>
        <w:t>irritant in a GLP study of acute dermal toxicity and irritation in 3D-tissue cultures of Human Reconstructed Epidermis, conducted according to OECD Guideline</w:t>
      </w:r>
      <w:r w:rsidR="00E30ED4">
        <w:rPr>
          <w:rFonts w:cs="Arial"/>
          <w:lang w:eastAsia="en-AU" w:bidi="ar-SA"/>
        </w:rPr>
        <w:t xml:space="preserve"> 439, and non-corrosive in a GLP-compliant Human Skin Model Test using EpiDerm</w:t>
      </w:r>
      <w:r w:rsidR="00E30ED4" w:rsidRPr="00E30ED4">
        <w:rPr>
          <w:rFonts w:cs="Arial"/>
          <w:vertAlign w:val="superscript"/>
          <w:lang w:eastAsia="en-AU" w:bidi="ar-SA"/>
        </w:rPr>
        <w:t>TM</w:t>
      </w:r>
      <w:r w:rsidR="00E30ED4">
        <w:rPr>
          <w:rFonts w:cs="Arial"/>
          <w:lang w:eastAsia="en-AU" w:bidi="ar-SA"/>
        </w:rPr>
        <w:t xml:space="preserve">, conducted according to OECD Guideline 431. In a GLP-compliant dermal sensitisation study using guinea pigs as the test system, the test article was not a contact sensitiser. Similarly, in a dermal sensitisation test in human volunteers, it was concluded that the test article was not a primary irritant or a primary sensitiser. Two further </w:t>
      </w:r>
      <w:r w:rsidR="00E30ED4" w:rsidRPr="005329F9">
        <w:rPr>
          <w:rFonts w:cs="Arial"/>
          <w:i/>
          <w:lang w:eastAsia="en-AU" w:bidi="ar-SA"/>
        </w:rPr>
        <w:t>in vitro</w:t>
      </w:r>
      <w:r w:rsidR="00E30ED4">
        <w:rPr>
          <w:rFonts w:cs="Arial"/>
          <w:lang w:eastAsia="en-AU" w:bidi="ar-SA"/>
        </w:rPr>
        <w:t xml:space="preserve"> studies were submitted in which the test article was characterised as FU50088, </w:t>
      </w:r>
      <w:r w:rsidR="005329F9">
        <w:rPr>
          <w:rFonts w:cs="Arial"/>
          <w:lang w:eastAsia="en-AU" w:bidi="ar-SA"/>
        </w:rPr>
        <w:t xml:space="preserve">but Bitzer et al (2017b) </w:t>
      </w:r>
      <w:r w:rsidR="001E5330">
        <w:rPr>
          <w:rFonts w:cs="Arial"/>
          <w:lang w:eastAsia="en-AU" w:bidi="ar-SA"/>
        </w:rPr>
        <w:t>summarize</w:t>
      </w:r>
      <w:r w:rsidR="005329F9">
        <w:rPr>
          <w:rFonts w:cs="Arial"/>
          <w:lang w:eastAsia="en-AU" w:bidi="ar-SA"/>
        </w:rPr>
        <w:t xml:space="preserve"> the conclusions of these assays as part of the database for </w:t>
      </w:r>
      <w:r w:rsidR="00003B29" w:rsidRPr="00003B29">
        <w:rPr>
          <w:rFonts w:cs="Arial"/>
          <w:lang w:eastAsia="en-AU" w:bidi="ar-SA"/>
        </w:rPr>
        <w:t>jelly mushroom glycolipids</w:t>
      </w:r>
      <w:r w:rsidR="005329F9">
        <w:rPr>
          <w:rFonts w:cs="Arial"/>
          <w:lang w:eastAsia="en-AU" w:bidi="ar-SA"/>
        </w:rPr>
        <w:t xml:space="preserve">. The test article was not an eye irritant according to the results of an acute eye irritation assay using 3D-tissue cultures of Human Corneal Epithelium, and was </w:t>
      </w:r>
      <w:r w:rsidR="00E728AB">
        <w:rPr>
          <w:rFonts w:cs="Arial"/>
          <w:lang w:eastAsia="en-AU" w:bidi="ar-SA"/>
        </w:rPr>
        <w:t>not phototoxic to Balb/c 3T3 cells in monolayer in an assay conducted according to OECD Guideline 432.</w:t>
      </w:r>
    </w:p>
    <w:p w14:paraId="1FC1F14B" w14:textId="7F1C8493" w:rsidR="00AA2C10" w:rsidRDefault="001A57F4" w:rsidP="00A9190F">
      <w:pPr>
        <w:pStyle w:val="Heading3"/>
      </w:pPr>
      <w:bookmarkStart w:id="118" w:name="_Toc43217060"/>
      <w:bookmarkStart w:id="119" w:name="_Toc44401545"/>
      <w:bookmarkStart w:id="120" w:name="_Toc45284297"/>
      <w:bookmarkStart w:id="121" w:name="_Toc46929420"/>
      <w:r>
        <w:t>4</w:t>
      </w:r>
      <w:r w:rsidR="00AA2C10" w:rsidRPr="00AA2C10">
        <w:t>.2.9 Human tolerance studies</w:t>
      </w:r>
      <w:bookmarkEnd w:id="118"/>
      <w:bookmarkEnd w:id="119"/>
      <w:bookmarkEnd w:id="120"/>
      <w:bookmarkEnd w:id="121"/>
    </w:p>
    <w:p w14:paraId="03F2041E" w14:textId="372F00CB" w:rsidR="00DE55E9" w:rsidRDefault="00093041" w:rsidP="002B3C8A">
      <w:pPr>
        <w:rPr>
          <w:lang w:eastAsia="en-AU" w:bidi="ar-SA"/>
        </w:rPr>
      </w:pPr>
      <w:r w:rsidRPr="00093041">
        <w:rPr>
          <w:lang w:eastAsia="en-AU" w:bidi="ar-SA"/>
        </w:rPr>
        <w:t xml:space="preserve">No human tolerance studies of </w:t>
      </w:r>
      <w:r w:rsidR="00003B29" w:rsidRPr="00003B29">
        <w:rPr>
          <w:lang w:eastAsia="en-AU" w:bidi="ar-SA"/>
        </w:rPr>
        <w:t xml:space="preserve">jelly mushroom glycolipids </w:t>
      </w:r>
      <w:r>
        <w:rPr>
          <w:lang w:eastAsia="en-AU" w:bidi="ar-SA"/>
        </w:rPr>
        <w:t>were submitted as part of the application, or located from other sources.</w:t>
      </w:r>
    </w:p>
    <w:p w14:paraId="6E52903A" w14:textId="23ED0805" w:rsidR="00AA2C10" w:rsidRDefault="001A57F4" w:rsidP="00A9190F">
      <w:pPr>
        <w:pStyle w:val="Heading3"/>
      </w:pPr>
      <w:bookmarkStart w:id="122" w:name="_Toc43217061"/>
      <w:bookmarkStart w:id="123" w:name="_Toc44401546"/>
      <w:bookmarkStart w:id="124" w:name="_Toc45284298"/>
      <w:bookmarkStart w:id="125" w:name="_Toc46929421"/>
      <w:r>
        <w:t>4</w:t>
      </w:r>
      <w:r w:rsidR="00AA2C10" w:rsidRPr="00AA2C10">
        <w:t>.2.10 Human allergenic potential</w:t>
      </w:r>
      <w:bookmarkEnd w:id="122"/>
      <w:bookmarkEnd w:id="123"/>
      <w:bookmarkEnd w:id="124"/>
      <w:bookmarkEnd w:id="125"/>
    </w:p>
    <w:p w14:paraId="6B4090D8" w14:textId="19194F74" w:rsidR="00093041" w:rsidRPr="00093041" w:rsidRDefault="00093041" w:rsidP="002B3C8A">
      <w:pPr>
        <w:rPr>
          <w:lang w:eastAsia="en-AU" w:bidi="ar-SA"/>
        </w:rPr>
      </w:pPr>
      <w:r w:rsidRPr="00093041">
        <w:rPr>
          <w:lang w:eastAsia="en-AU" w:bidi="ar-SA"/>
        </w:rPr>
        <w:t xml:space="preserve">The specifications for </w:t>
      </w:r>
      <w:r w:rsidR="00003B29" w:rsidRPr="00003B29">
        <w:rPr>
          <w:lang w:eastAsia="en-AU" w:bidi="ar-SA"/>
        </w:rPr>
        <w:t xml:space="preserve">jelly mushroom glycolipids </w:t>
      </w:r>
      <w:r>
        <w:rPr>
          <w:lang w:eastAsia="en-AU" w:bidi="ar-SA"/>
        </w:rPr>
        <w:t xml:space="preserve">state that the mixture contains no </w:t>
      </w:r>
      <w:r w:rsidR="007C1616">
        <w:rPr>
          <w:lang w:eastAsia="en-AU" w:bidi="ar-SA"/>
        </w:rPr>
        <w:t xml:space="preserve">known allergens of concern, </w:t>
      </w:r>
      <w:r w:rsidR="007C1616" w:rsidRPr="007C1616">
        <w:rPr>
          <w:lang w:eastAsia="en-AU" w:bidi="ar-SA"/>
        </w:rPr>
        <w:t>as listed in Standard 1.2.3-4</w:t>
      </w:r>
      <w:r w:rsidR="007C1616">
        <w:rPr>
          <w:lang w:eastAsia="en-AU" w:bidi="ar-SA"/>
        </w:rPr>
        <w:t xml:space="preserve">. No information was found on literature search of PubMed or EBSCO to suggest that the source organism, </w:t>
      </w:r>
      <w:r w:rsidR="007C1616" w:rsidRPr="007C1616">
        <w:rPr>
          <w:i/>
          <w:lang w:eastAsia="en-AU" w:bidi="ar-SA"/>
        </w:rPr>
        <w:t>Dacryopinax spathularia</w:t>
      </w:r>
      <w:r w:rsidR="007C1616">
        <w:rPr>
          <w:lang w:eastAsia="en-AU" w:bidi="ar-SA"/>
        </w:rPr>
        <w:t xml:space="preserve">, is associated with allergic reactions in human beings or other organisms. </w:t>
      </w:r>
      <w:r w:rsidR="00A55AD0">
        <w:rPr>
          <w:lang w:eastAsia="en-AU" w:bidi="ar-SA"/>
        </w:rPr>
        <w:t>S</w:t>
      </w:r>
      <w:r w:rsidR="00334DD1">
        <w:rPr>
          <w:lang w:eastAsia="en-AU" w:bidi="ar-SA"/>
        </w:rPr>
        <w:t xml:space="preserve">ome </w:t>
      </w:r>
      <w:r w:rsidR="006F2743">
        <w:rPr>
          <w:lang w:eastAsia="en-AU" w:bidi="ar-SA"/>
        </w:rPr>
        <w:t xml:space="preserve">glycolipids can act as adjuvants in </w:t>
      </w:r>
      <w:r w:rsidR="0012612A">
        <w:rPr>
          <w:lang w:eastAsia="en-AU" w:bidi="ar-SA"/>
        </w:rPr>
        <w:t xml:space="preserve">food </w:t>
      </w:r>
      <w:r w:rsidR="0012612A" w:rsidRPr="00E41F3A">
        <w:rPr>
          <w:lang w:eastAsia="en-AU" w:bidi="ar-SA"/>
        </w:rPr>
        <w:t>allerg</w:t>
      </w:r>
      <w:r w:rsidR="00334DD1" w:rsidRPr="00E41F3A">
        <w:rPr>
          <w:lang w:eastAsia="en-AU" w:bidi="ar-SA"/>
        </w:rPr>
        <w:t>ies</w:t>
      </w:r>
      <w:r w:rsidR="00A55AD0" w:rsidRPr="00E41F3A">
        <w:rPr>
          <w:lang w:eastAsia="en-AU" w:bidi="ar-SA"/>
        </w:rPr>
        <w:t xml:space="preserve"> (Jappe et al 2019</w:t>
      </w:r>
      <w:r w:rsidR="00A55AD0">
        <w:rPr>
          <w:lang w:eastAsia="en-AU" w:bidi="ar-SA"/>
        </w:rPr>
        <w:t>)</w:t>
      </w:r>
      <w:r w:rsidR="00334DD1">
        <w:rPr>
          <w:lang w:eastAsia="en-AU" w:bidi="ar-SA"/>
        </w:rPr>
        <w:t xml:space="preserve">, but </w:t>
      </w:r>
      <w:r w:rsidR="0012612A">
        <w:rPr>
          <w:lang w:eastAsia="en-AU" w:bidi="ar-SA"/>
        </w:rPr>
        <w:t xml:space="preserve">there is no evidence that </w:t>
      </w:r>
      <w:r w:rsidR="00003B29" w:rsidRPr="00003B29">
        <w:rPr>
          <w:lang w:eastAsia="en-AU" w:bidi="ar-SA"/>
        </w:rPr>
        <w:t xml:space="preserve">jelly mushroom glycolipids </w:t>
      </w:r>
      <w:r w:rsidR="0012612A">
        <w:rPr>
          <w:lang w:eastAsia="en-AU" w:bidi="ar-SA"/>
        </w:rPr>
        <w:t xml:space="preserve">have this effect. </w:t>
      </w:r>
    </w:p>
    <w:p w14:paraId="7073F3EF" w14:textId="1C0AB4BF" w:rsidR="00AA2C10" w:rsidRDefault="001A57F4" w:rsidP="000D20BD">
      <w:pPr>
        <w:pStyle w:val="Heading2"/>
      </w:pPr>
      <w:bookmarkStart w:id="126" w:name="_Toc43217062"/>
      <w:bookmarkStart w:id="127" w:name="_Toc44401547"/>
      <w:bookmarkStart w:id="128" w:name="_Toc45284299"/>
      <w:bookmarkStart w:id="129" w:name="_Toc46929422"/>
      <w:r>
        <w:t>4</w:t>
      </w:r>
      <w:r w:rsidR="00AA2C10" w:rsidRPr="00AA2C10">
        <w:t>.3 Assessments by other regulatory agencies</w:t>
      </w:r>
      <w:bookmarkEnd w:id="126"/>
      <w:bookmarkEnd w:id="127"/>
      <w:bookmarkEnd w:id="128"/>
      <w:bookmarkEnd w:id="129"/>
    </w:p>
    <w:p w14:paraId="63898D2B" w14:textId="7B09D7AC" w:rsidR="009A1FBF" w:rsidRDefault="009A1FBF" w:rsidP="009A1FBF">
      <w:pPr>
        <w:rPr>
          <w:lang w:bidi="ar-SA"/>
        </w:rPr>
      </w:pPr>
      <w:r>
        <w:rPr>
          <w:lang w:bidi="ar-SA"/>
        </w:rPr>
        <w:t xml:space="preserve">There are currently no assessments of </w:t>
      </w:r>
      <w:r w:rsidR="00003B29" w:rsidRPr="00003B29">
        <w:rPr>
          <w:lang w:bidi="ar-SA"/>
        </w:rPr>
        <w:t xml:space="preserve">jelly mushroom glycolipids </w:t>
      </w:r>
      <w:r>
        <w:rPr>
          <w:lang w:bidi="ar-SA"/>
        </w:rPr>
        <w:t xml:space="preserve">by other national regulatory agencies, or international regulatory agencies. </w:t>
      </w:r>
    </w:p>
    <w:p w14:paraId="15BC672A" w14:textId="52127557" w:rsidR="009A1FBF" w:rsidRDefault="009A1FBF" w:rsidP="009A1FBF">
      <w:pPr>
        <w:rPr>
          <w:lang w:bidi="ar-SA"/>
        </w:rPr>
      </w:pPr>
    </w:p>
    <w:p w14:paraId="292C7D19" w14:textId="779342A4" w:rsidR="009A1FBF" w:rsidRPr="00AA2C10" w:rsidRDefault="009A1FBF" w:rsidP="009A1FBF">
      <w:pPr>
        <w:rPr>
          <w:lang w:bidi="ar-SA"/>
        </w:rPr>
      </w:pPr>
      <w:r>
        <w:rPr>
          <w:lang w:bidi="ar-SA"/>
        </w:rPr>
        <w:t>The US FDA responded with No Questions letters to a GRAS Notification, GRN 740. This does not constitute a safety assessment.</w:t>
      </w:r>
    </w:p>
    <w:p w14:paraId="2B620333" w14:textId="51A26BFA" w:rsidR="00AA2C10" w:rsidRPr="00AA2C10" w:rsidRDefault="001A57F4" w:rsidP="000D20BD">
      <w:pPr>
        <w:pStyle w:val="Heading2"/>
      </w:pPr>
      <w:bookmarkStart w:id="130" w:name="_Toc43217063"/>
      <w:bookmarkStart w:id="131" w:name="_Toc44401548"/>
      <w:bookmarkStart w:id="132" w:name="_Toc45284300"/>
      <w:bookmarkStart w:id="133" w:name="_Toc46929423"/>
      <w:r>
        <w:t>4</w:t>
      </w:r>
      <w:r w:rsidR="00AA2C10" w:rsidRPr="00AA2C10">
        <w:t>.4 Discussion and conclusion</w:t>
      </w:r>
      <w:bookmarkEnd w:id="130"/>
      <w:bookmarkEnd w:id="131"/>
      <w:bookmarkEnd w:id="132"/>
      <w:bookmarkEnd w:id="133"/>
    </w:p>
    <w:p w14:paraId="7EEC8118" w14:textId="43A3ED13" w:rsidR="002B594B" w:rsidRPr="002B594B" w:rsidRDefault="002B594B" w:rsidP="002B594B">
      <w:pPr>
        <w:rPr>
          <w:lang w:bidi="ar-SA"/>
        </w:rPr>
      </w:pPr>
      <w:r w:rsidRPr="002B594B">
        <w:rPr>
          <w:lang w:bidi="ar-SA"/>
        </w:rPr>
        <w:t xml:space="preserve">The submitted data, together with information located from other sources, are considered suitable to assess the hazard of </w:t>
      </w:r>
      <w:r w:rsidR="00003B29" w:rsidRPr="00003B29">
        <w:rPr>
          <w:lang w:bidi="ar-SA"/>
        </w:rPr>
        <w:t>jelly mushroom glycolipids</w:t>
      </w:r>
      <w:r w:rsidRPr="002B594B">
        <w:rPr>
          <w:lang w:bidi="ar-SA"/>
        </w:rPr>
        <w:t xml:space="preserve">. </w:t>
      </w:r>
    </w:p>
    <w:p w14:paraId="658B14F3" w14:textId="77777777" w:rsidR="002B594B" w:rsidRPr="002B594B" w:rsidRDefault="002B594B" w:rsidP="002B594B">
      <w:pPr>
        <w:rPr>
          <w:lang w:bidi="ar-SA"/>
        </w:rPr>
      </w:pPr>
    </w:p>
    <w:p w14:paraId="23AF99E0" w14:textId="70B3A403" w:rsidR="002B594B" w:rsidRPr="002B594B" w:rsidRDefault="002B594B" w:rsidP="002B594B">
      <w:pPr>
        <w:rPr>
          <w:lang w:bidi="ar-SA"/>
        </w:rPr>
      </w:pPr>
      <w:r w:rsidRPr="002B594B">
        <w:rPr>
          <w:lang w:bidi="ar-SA"/>
        </w:rPr>
        <w:t xml:space="preserve">Pharmacokinetic data for radiolabelled </w:t>
      </w:r>
      <w:r w:rsidR="00003B29" w:rsidRPr="00003B29">
        <w:rPr>
          <w:lang w:bidi="ar-SA"/>
        </w:rPr>
        <w:t>jelly mushroom glycolipids</w:t>
      </w:r>
      <w:r w:rsidRPr="002B594B">
        <w:rPr>
          <w:lang w:bidi="ar-SA"/>
        </w:rPr>
        <w:t xml:space="preserve">, and radiolabelled LCFA that are the major hydrolysis products of </w:t>
      </w:r>
      <w:r w:rsidR="00003B29" w:rsidRPr="00003B29">
        <w:rPr>
          <w:lang w:bidi="ar-SA"/>
        </w:rPr>
        <w:t>jelly mushroom glycolipids</w:t>
      </w:r>
      <w:r w:rsidRPr="002B594B">
        <w:rPr>
          <w:lang w:bidi="ar-SA"/>
        </w:rPr>
        <w:t xml:space="preserve">, </w:t>
      </w:r>
      <w:r w:rsidR="005A6713">
        <w:rPr>
          <w:lang w:bidi="ar-SA"/>
        </w:rPr>
        <w:t>support the conclusion</w:t>
      </w:r>
      <w:r w:rsidRPr="002B594B">
        <w:rPr>
          <w:lang w:bidi="ar-SA"/>
        </w:rPr>
        <w:t xml:space="preserve"> that both the parent mixture and the hydrolysis products are poorly absorbed by the oral route. The apparent bioavailability was 11%, but this was considered to be largely attributable to absorption of metabolites including CO</w:t>
      </w:r>
      <w:r w:rsidRPr="002B594B">
        <w:rPr>
          <w:vertAlign w:val="subscript"/>
          <w:lang w:bidi="ar-SA"/>
        </w:rPr>
        <w:t>2</w:t>
      </w:r>
      <w:r w:rsidRPr="002B594B">
        <w:rPr>
          <w:lang w:bidi="ar-SA"/>
        </w:rPr>
        <w:t xml:space="preserve">, short-chain fatty acids and monosaccharides. </w:t>
      </w:r>
      <w:r w:rsidR="00C77656">
        <w:rPr>
          <w:lang w:bidi="ar-SA"/>
        </w:rPr>
        <w:t xml:space="preserve">The highest level of radiolabel in plasma occurred at 8 h </w:t>
      </w:r>
      <w:r w:rsidRPr="002B594B">
        <w:rPr>
          <w:lang w:bidi="ar-SA"/>
        </w:rPr>
        <w:t xml:space="preserve">for </w:t>
      </w:r>
      <w:r w:rsidR="00003B29" w:rsidRPr="00003B29">
        <w:rPr>
          <w:lang w:bidi="ar-SA"/>
        </w:rPr>
        <w:t xml:space="preserve">jelly mushroom glycolipids </w:t>
      </w:r>
      <w:r w:rsidR="00C77656">
        <w:rPr>
          <w:lang w:bidi="ar-SA"/>
        </w:rPr>
        <w:t>and at 4 h for</w:t>
      </w:r>
      <w:r w:rsidRPr="002B594B">
        <w:rPr>
          <w:lang w:bidi="ar-SA"/>
        </w:rPr>
        <w:t xml:space="preserve"> LCFA. Distribution correlated with tissue perfusion, and there was no evidence of persistence or bioaccumulation in any particular tissue. </w:t>
      </w:r>
      <w:r w:rsidR="005A6713">
        <w:rPr>
          <w:lang w:bidi="ar-SA"/>
        </w:rPr>
        <w:t xml:space="preserve">Most radiolabel remained associated with the gastrointestinal tract, with little radiolabel reaching the plasma or urine. </w:t>
      </w:r>
    </w:p>
    <w:p w14:paraId="22AEF9EC" w14:textId="77777777" w:rsidR="002B594B" w:rsidRPr="002B594B" w:rsidRDefault="002B594B" w:rsidP="002B594B">
      <w:pPr>
        <w:rPr>
          <w:lang w:bidi="ar-SA"/>
        </w:rPr>
      </w:pPr>
    </w:p>
    <w:p w14:paraId="2DB69A84" w14:textId="7D333240" w:rsidR="002B594B" w:rsidRPr="002B594B" w:rsidRDefault="002B594B" w:rsidP="002B594B">
      <w:pPr>
        <w:rPr>
          <w:lang w:bidi="ar-SA"/>
        </w:rPr>
      </w:pPr>
      <w:r w:rsidRPr="002B594B">
        <w:rPr>
          <w:lang w:bidi="ar-SA"/>
        </w:rPr>
        <w:t xml:space="preserve">The acute oral LD50 of </w:t>
      </w:r>
      <w:r w:rsidR="00003B29" w:rsidRPr="00003B29">
        <w:rPr>
          <w:lang w:bidi="ar-SA"/>
        </w:rPr>
        <w:t xml:space="preserve">jelly mushroom glycolipids </w:t>
      </w:r>
      <w:r w:rsidR="00BB4E74">
        <w:rPr>
          <w:lang w:bidi="ar-SA"/>
        </w:rPr>
        <w:t xml:space="preserve">in </w:t>
      </w:r>
      <w:r w:rsidRPr="002B594B">
        <w:rPr>
          <w:lang w:bidi="ar-SA"/>
        </w:rPr>
        <w:t xml:space="preserve">Han Wistar rats </w:t>
      </w:r>
      <w:r w:rsidR="00BB4E74">
        <w:rPr>
          <w:lang w:bidi="ar-SA"/>
        </w:rPr>
        <w:t>was &gt;</w:t>
      </w:r>
      <w:r w:rsidRPr="002B594B">
        <w:rPr>
          <w:lang w:bidi="ar-SA"/>
        </w:rPr>
        <w:t>2000 mg/kg</w:t>
      </w:r>
      <w:r w:rsidR="00DC1C18">
        <w:rPr>
          <w:lang w:bidi="ar-SA"/>
        </w:rPr>
        <w:t xml:space="preserve"> bw</w:t>
      </w:r>
      <w:r w:rsidRPr="002B594B">
        <w:rPr>
          <w:lang w:bidi="ar-SA"/>
        </w:rPr>
        <w:t xml:space="preserve">. </w:t>
      </w:r>
    </w:p>
    <w:p w14:paraId="5152943E" w14:textId="77777777" w:rsidR="002B594B" w:rsidRPr="002B594B" w:rsidRDefault="002B594B" w:rsidP="002B594B">
      <w:pPr>
        <w:rPr>
          <w:lang w:bidi="ar-SA"/>
        </w:rPr>
      </w:pPr>
    </w:p>
    <w:p w14:paraId="680DE3A4" w14:textId="5BB0FC9D" w:rsidR="002B594B" w:rsidRPr="002B594B" w:rsidRDefault="002B594B" w:rsidP="002B594B">
      <w:pPr>
        <w:rPr>
          <w:lang w:bidi="ar-SA"/>
        </w:rPr>
      </w:pPr>
      <w:r w:rsidRPr="002B594B">
        <w:rPr>
          <w:lang w:bidi="ar-SA"/>
        </w:rPr>
        <w:t xml:space="preserve">Short-term repeat-dose GLP-compliant studies in rats and dogs were submitted. In a 90-day drinking water study in Sprague Dawley rats, no adverse effects were found at the highest dose administered, equivalent to 1201 and 1423 mg/kg bw/day in male and female rats respectively. In a 90-day oral capsule study in Beagle dogs, a significant reduction, relative to that of controls, in group mean cumulative bodyweight gain in female dogs, with a corresponding </w:t>
      </w:r>
      <w:r w:rsidR="00123185">
        <w:rPr>
          <w:lang w:bidi="ar-SA"/>
        </w:rPr>
        <w:t>but non</w:t>
      </w:r>
      <w:r w:rsidR="00977DB9">
        <w:rPr>
          <w:lang w:bidi="ar-SA"/>
        </w:rPr>
        <w:t>-</w:t>
      </w:r>
      <w:r w:rsidR="00123185">
        <w:rPr>
          <w:lang w:bidi="ar-SA"/>
        </w:rPr>
        <w:t>sig</w:t>
      </w:r>
      <w:r w:rsidR="00977DB9">
        <w:rPr>
          <w:lang w:bidi="ar-SA"/>
        </w:rPr>
        <w:t>nif</w:t>
      </w:r>
      <w:r w:rsidR="00123185">
        <w:rPr>
          <w:lang w:bidi="ar-SA"/>
        </w:rPr>
        <w:t xml:space="preserve">icant </w:t>
      </w:r>
      <w:r w:rsidRPr="002B594B">
        <w:rPr>
          <w:lang w:bidi="ar-SA"/>
        </w:rPr>
        <w:t xml:space="preserve">reduction in group mean food consumption, at 1000 mg/kg bw/day, is considered to be adverse by FSANZ. FSANZ considers that the NOAEL for this study is 500 mg/kg bw/day. </w:t>
      </w:r>
    </w:p>
    <w:p w14:paraId="77E2F19A" w14:textId="77777777" w:rsidR="002B594B" w:rsidRPr="002B594B" w:rsidRDefault="002B594B" w:rsidP="002B594B">
      <w:pPr>
        <w:rPr>
          <w:lang w:bidi="ar-SA"/>
        </w:rPr>
      </w:pPr>
    </w:p>
    <w:p w14:paraId="585B97C8" w14:textId="301BC43A" w:rsidR="002B594B" w:rsidRPr="002B594B" w:rsidRDefault="002B594B" w:rsidP="002B594B">
      <w:pPr>
        <w:rPr>
          <w:lang w:bidi="ar-SA"/>
        </w:rPr>
      </w:pPr>
      <w:r w:rsidRPr="002B594B">
        <w:rPr>
          <w:lang w:bidi="ar-SA"/>
        </w:rPr>
        <w:t xml:space="preserve">No chronic or carcinogenicity studies of </w:t>
      </w:r>
      <w:r w:rsidR="00003B29" w:rsidRPr="00003B29">
        <w:rPr>
          <w:lang w:bidi="ar-SA"/>
        </w:rPr>
        <w:t xml:space="preserve">jelly mushroom glycolipids </w:t>
      </w:r>
      <w:r w:rsidRPr="002B594B">
        <w:rPr>
          <w:lang w:bidi="ar-SA"/>
        </w:rPr>
        <w:t xml:space="preserve">were submitted in the application or located from other sources. </w:t>
      </w:r>
      <w:r w:rsidR="005A14DA">
        <w:rPr>
          <w:lang w:bidi="ar-SA"/>
        </w:rPr>
        <w:t>J</w:t>
      </w:r>
      <w:r w:rsidR="00003B29" w:rsidRPr="00003B29">
        <w:rPr>
          <w:lang w:bidi="ar-SA"/>
        </w:rPr>
        <w:t xml:space="preserve">elly mushroom glycolipids </w:t>
      </w:r>
      <w:r w:rsidRPr="002B594B">
        <w:rPr>
          <w:lang w:bidi="ar-SA"/>
        </w:rPr>
        <w:t xml:space="preserve">were not genotoxic in GLP-compliant genotoxicity studies that included </w:t>
      </w:r>
      <w:r w:rsidR="005A14DA">
        <w:rPr>
          <w:lang w:bidi="ar-SA"/>
        </w:rPr>
        <w:t xml:space="preserve">a </w:t>
      </w:r>
      <w:r w:rsidRPr="002B594B">
        <w:rPr>
          <w:lang w:bidi="ar-SA"/>
        </w:rPr>
        <w:t xml:space="preserve">bacterial reverse mutation assay, micronucleus test in human lymphocytes, and cell gene mutation test (TK mutation test) in L5178Y mouse lymphoma cells. There was an absence of test article related lesions in the repeat-dose studies, and therefore there was no evidence of neoplastic potential by </w:t>
      </w:r>
      <w:r w:rsidR="00090E14">
        <w:rPr>
          <w:lang w:bidi="ar-SA"/>
        </w:rPr>
        <w:t xml:space="preserve">a </w:t>
      </w:r>
      <w:r w:rsidRPr="002B594B">
        <w:rPr>
          <w:lang w:bidi="ar-SA"/>
        </w:rPr>
        <w:t>non</w:t>
      </w:r>
      <w:r w:rsidR="002E71A2">
        <w:rPr>
          <w:lang w:bidi="ar-SA"/>
        </w:rPr>
        <w:t>-</w:t>
      </w:r>
      <w:r w:rsidRPr="002B594B">
        <w:rPr>
          <w:lang w:bidi="ar-SA"/>
        </w:rPr>
        <w:t>genotoxic me</w:t>
      </w:r>
      <w:r w:rsidR="00E7353A">
        <w:rPr>
          <w:lang w:bidi="ar-SA"/>
        </w:rPr>
        <w:t>chanism</w:t>
      </w:r>
      <w:r w:rsidRPr="002B594B">
        <w:rPr>
          <w:lang w:bidi="ar-SA"/>
        </w:rPr>
        <w:t xml:space="preserve">. </w:t>
      </w:r>
    </w:p>
    <w:p w14:paraId="4CDAB0CB" w14:textId="77777777" w:rsidR="002B594B" w:rsidRPr="002B594B" w:rsidRDefault="002B594B" w:rsidP="002B594B">
      <w:pPr>
        <w:rPr>
          <w:lang w:bidi="ar-SA"/>
        </w:rPr>
      </w:pPr>
    </w:p>
    <w:p w14:paraId="7CBD2D1D" w14:textId="3443AC07" w:rsidR="002B594B" w:rsidRPr="002B594B" w:rsidRDefault="002B594B" w:rsidP="002B594B">
      <w:pPr>
        <w:rPr>
          <w:lang w:bidi="ar-SA"/>
        </w:rPr>
      </w:pPr>
      <w:r w:rsidRPr="002B594B">
        <w:rPr>
          <w:lang w:bidi="ar-SA"/>
        </w:rPr>
        <w:t xml:space="preserve">Potential for developmental and/or reproductive toxicity was assessed in two GLP-compliant studies in rats, a developmental toxicity study and a two-generation reproductive toxicity study. The NOAEL for parental toxicity, embryo/fetal developmental toxicity and toxicity to offspring was the highest dose tested in the two studies, 1000 mg/kg bw/day. </w:t>
      </w:r>
    </w:p>
    <w:p w14:paraId="0078BBC8" w14:textId="77777777" w:rsidR="002B594B" w:rsidRPr="002B594B" w:rsidRDefault="002B594B" w:rsidP="002B594B">
      <w:pPr>
        <w:rPr>
          <w:lang w:bidi="ar-SA"/>
        </w:rPr>
      </w:pPr>
    </w:p>
    <w:p w14:paraId="32C8A014" w14:textId="39D57875" w:rsidR="002B594B" w:rsidRPr="002B594B" w:rsidRDefault="002B594B" w:rsidP="002B594B">
      <w:pPr>
        <w:rPr>
          <w:lang w:bidi="ar-SA"/>
        </w:rPr>
      </w:pPr>
      <w:r w:rsidRPr="002B594B">
        <w:rPr>
          <w:lang w:bidi="ar-SA"/>
        </w:rPr>
        <w:t xml:space="preserve">No human tolerance studies of </w:t>
      </w:r>
      <w:r w:rsidR="00003B29" w:rsidRPr="00003B29">
        <w:rPr>
          <w:lang w:bidi="ar-SA"/>
        </w:rPr>
        <w:t xml:space="preserve">jelly mushroom glycolipids </w:t>
      </w:r>
      <w:r w:rsidRPr="002B594B">
        <w:rPr>
          <w:lang w:bidi="ar-SA"/>
        </w:rPr>
        <w:t xml:space="preserve">were submitted or located from other sources. It is relevant that the source organism, </w:t>
      </w:r>
      <w:r w:rsidRPr="002B594B">
        <w:rPr>
          <w:i/>
          <w:iCs/>
          <w:lang w:bidi="ar-SA"/>
        </w:rPr>
        <w:t>Dacryopinax spathularia</w:t>
      </w:r>
      <w:r w:rsidRPr="002B594B">
        <w:rPr>
          <w:lang w:bidi="ar-SA"/>
        </w:rPr>
        <w:t xml:space="preserve">, is listed in the FAO compendium on edible mushrooms and is described as edible in peer-reviewed publications from a range of countries in </w:t>
      </w:r>
      <w:r w:rsidR="00090E14">
        <w:rPr>
          <w:lang w:bidi="ar-SA"/>
        </w:rPr>
        <w:t>multiple</w:t>
      </w:r>
      <w:r w:rsidRPr="002B594B">
        <w:rPr>
          <w:lang w:bidi="ar-SA"/>
        </w:rPr>
        <w:t xml:space="preserve"> continents. There are no case reports of allergic reactions to the source organism, or evidence of allergenic potential of </w:t>
      </w:r>
      <w:r w:rsidR="00003B29" w:rsidRPr="00003B29">
        <w:rPr>
          <w:lang w:bidi="ar-SA"/>
        </w:rPr>
        <w:t>jelly mushroom glycolipids</w:t>
      </w:r>
      <w:r w:rsidRPr="002B594B">
        <w:rPr>
          <w:lang w:bidi="ar-SA"/>
        </w:rPr>
        <w:t>. There is a lack of evidence that glycolipids act as food allergens.</w:t>
      </w:r>
    </w:p>
    <w:p w14:paraId="55B1F07D" w14:textId="77777777" w:rsidR="002B594B" w:rsidRPr="002B594B" w:rsidRDefault="002B594B" w:rsidP="002B594B">
      <w:pPr>
        <w:rPr>
          <w:lang w:bidi="ar-SA"/>
        </w:rPr>
      </w:pPr>
    </w:p>
    <w:p w14:paraId="37426260" w14:textId="2C03DAC8" w:rsidR="00AE44AE" w:rsidRDefault="005A14DA" w:rsidP="002B594B">
      <w:pPr>
        <w:rPr>
          <w:lang w:bidi="ar-SA"/>
        </w:rPr>
      </w:pPr>
      <w:r>
        <w:rPr>
          <w:lang w:bidi="ar-SA"/>
        </w:rPr>
        <w:t>T</w:t>
      </w:r>
      <w:r w:rsidR="002B594B">
        <w:rPr>
          <w:lang w:bidi="ar-SA"/>
        </w:rPr>
        <w:t>he ADI is derived from the lowest NOAEL identified in animals</w:t>
      </w:r>
      <w:r w:rsidR="00BB4F9C">
        <w:rPr>
          <w:lang w:bidi="ar-SA"/>
        </w:rPr>
        <w:t xml:space="preserve">, 500 mg/kg bw/day in Beagle dogs. </w:t>
      </w:r>
      <w:r w:rsidR="00D13F5D">
        <w:rPr>
          <w:lang w:bidi="ar-SA"/>
        </w:rPr>
        <w:t>FSANZ has applied a</w:t>
      </w:r>
      <w:r w:rsidR="00DC1C18">
        <w:rPr>
          <w:lang w:bidi="ar-SA"/>
        </w:rPr>
        <w:t xml:space="preserve">n uncertainty factor of 10 </w:t>
      </w:r>
      <w:r w:rsidR="00EE7C2E">
        <w:rPr>
          <w:lang w:bidi="ar-SA"/>
        </w:rPr>
        <w:t>for extrapolation from animals to humans</w:t>
      </w:r>
      <w:r w:rsidR="00D13F5D">
        <w:rPr>
          <w:lang w:bidi="ar-SA"/>
        </w:rPr>
        <w:t>, a</w:t>
      </w:r>
      <w:r w:rsidR="00DC1C18">
        <w:rPr>
          <w:lang w:bidi="ar-SA"/>
        </w:rPr>
        <w:t xml:space="preserve">n uncertainty factor </w:t>
      </w:r>
      <w:r w:rsidR="00D13F5D">
        <w:rPr>
          <w:lang w:bidi="ar-SA"/>
        </w:rPr>
        <w:t xml:space="preserve">of </w:t>
      </w:r>
      <w:r w:rsidR="00D91DC0">
        <w:rPr>
          <w:lang w:bidi="ar-SA"/>
        </w:rPr>
        <w:t>10</w:t>
      </w:r>
      <w:r w:rsidR="00DC1C18">
        <w:rPr>
          <w:lang w:bidi="ar-SA"/>
        </w:rPr>
        <w:t xml:space="preserve"> for variability between humans</w:t>
      </w:r>
      <w:r w:rsidR="00D13F5D">
        <w:rPr>
          <w:lang w:bidi="ar-SA"/>
        </w:rPr>
        <w:t xml:space="preserve">, </w:t>
      </w:r>
      <w:r w:rsidR="00EE7C2E">
        <w:rPr>
          <w:lang w:bidi="ar-SA"/>
        </w:rPr>
        <w:t>and a</w:t>
      </w:r>
      <w:r w:rsidR="00DC1C18">
        <w:rPr>
          <w:lang w:bidi="ar-SA"/>
        </w:rPr>
        <w:t xml:space="preserve">n uncertainty factor of 3 allowing for </w:t>
      </w:r>
      <w:r w:rsidR="00BD1C2F" w:rsidRPr="00B87286">
        <w:rPr>
          <w:lang w:bidi="ar-SA"/>
        </w:rPr>
        <w:t xml:space="preserve">extrapolation from a </w:t>
      </w:r>
      <w:r w:rsidR="00BD1C2F" w:rsidRPr="00BD1C2F">
        <w:rPr>
          <w:lang w:bidi="ar-SA"/>
        </w:rPr>
        <w:t>subchronic</w:t>
      </w:r>
      <w:r w:rsidR="00BD1C2F" w:rsidRPr="00B87286">
        <w:rPr>
          <w:lang w:bidi="ar-SA"/>
        </w:rPr>
        <w:t xml:space="preserve"> study to chronic exposure</w:t>
      </w:r>
      <w:r w:rsidR="00BD1C2F">
        <w:rPr>
          <w:lang w:bidi="ar-SA"/>
        </w:rPr>
        <w:t>,</w:t>
      </w:r>
      <w:r w:rsidR="00BD1C2F">
        <w:rPr>
          <w:vertAlign w:val="subscript"/>
          <w:lang w:bidi="ar-SA"/>
        </w:rPr>
        <w:t xml:space="preserve"> </w:t>
      </w:r>
      <w:r w:rsidR="00D13F5D" w:rsidRPr="00BD1C2F">
        <w:rPr>
          <w:lang w:bidi="ar-SA"/>
        </w:rPr>
        <w:t>for</w:t>
      </w:r>
      <w:r w:rsidR="00D13F5D">
        <w:rPr>
          <w:lang w:bidi="ar-SA"/>
        </w:rPr>
        <w:t xml:space="preserve"> a total </w:t>
      </w:r>
      <w:r w:rsidR="00DC1C18">
        <w:rPr>
          <w:lang w:bidi="ar-SA"/>
        </w:rPr>
        <w:t>uncertainty factor</w:t>
      </w:r>
      <w:r w:rsidR="00D13F5D">
        <w:rPr>
          <w:lang w:bidi="ar-SA"/>
        </w:rPr>
        <w:t xml:space="preserve"> of 300. </w:t>
      </w:r>
      <w:r w:rsidR="00346A25">
        <w:rPr>
          <w:lang w:bidi="ar-SA"/>
        </w:rPr>
        <w:t>A</w:t>
      </w:r>
      <w:r w:rsidR="00DC1C18">
        <w:rPr>
          <w:lang w:bidi="ar-SA"/>
        </w:rPr>
        <w:t>n uncertainty factor</w:t>
      </w:r>
      <w:r w:rsidR="00D13F5D">
        <w:rPr>
          <w:lang w:bidi="ar-SA"/>
        </w:rPr>
        <w:t xml:space="preserve"> </w:t>
      </w:r>
      <w:r w:rsidR="00346A25">
        <w:rPr>
          <w:lang w:bidi="ar-SA"/>
        </w:rPr>
        <w:t>of</w:t>
      </w:r>
      <w:r w:rsidR="00D13F5D">
        <w:rPr>
          <w:lang w:bidi="ar-SA"/>
        </w:rPr>
        <w:t xml:space="preserve"> 3</w:t>
      </w:r>
      <w:r w:rsidR="00346A25">
        <w:rPr>
          <w:lang w:bidi="ar-SA"/>
        </w:rPr>
        <w:t>,</w:t>
      </w:r>
      <w:r w:rsidR="00D13F5D">
        <w:rPr>
          <w:lang w:bidi="ar-SA"/>
        </w:rPr>
        <w:t xml:space="preserve"> rather than 10,</w:t>
      </w:r>
      <w:r w:rsidR="00346A25">
        <w:rPr>
          <w:lang w:bidi="ar-SA"/>
        </w:rPr>
        <w:t xml:space="preserve"> has been selected</w:t>
      </w:r>
      <w:r w:rsidR="00D13F5D">
        <w:rPr>
          <w:lang w:bidi="ar-SA"/>
        </w:rPr>
        <w:t xml:space="preserve"> because </w:t>
      </w:r>
      <w:r w:rsidR="00D91DC0">
        <w:rPr>
          <w:lang w:bidi="ar-SA"/>
        </w:rPr>
        <w:t xml:space="preserve">there is a clear NOAEL at 500 mg/kg bw/day, and </w:t>
      </w:r>
      <w:r w:rsidR="00D13F5D">
        <w:rPr>
          <w:lang w:bidi="ar-SA"/>
        </w:rPr>
        <w:t xml:space="preserve">the </w:t>
      </w:r>
      <w:r w:rsidR="00D91DC0">
        <w:rPr>
          <w:lang w:bidi="ar-SA"/>
        </w:rPr>
        <w:t>effect is minimal at twice</w:t>
      </w:r>
      <w:r w:rsidR="00346A25">
        <w:rPr>
          <w:lang w:bidi="ar-SA"/>
        </w:rPr>
        <w:t xml:space="preserve"> </w:t>
      </w:r>
      <w:r w:rsidR="00D13F5D">
        <w:rPr>
          <w:lang w:bidi="ar-SA"/>
        </w:rPr>
        <w:t xml:space="preserve">that </w:t>
      </w:r>
      <w:r w:rsidR="00D91DC0">
        <w:rPr>
          <w:lang w:bidi="ar-SA"/>
        </w:rPr>
        <w:t>value, although</w:t>
      </w:r>
      <w:r w:rsidR="00346A25">
        <w:rPr>
          <w:lang w:bidi="ar-SA"/>
        </w:rPr>
        <w:t xml:space="preserve"> the </w:t>
      </w:r>
      <w:r w:rsidR="00D91DC0">
        <w:rPr>
          <w:lang w:bidi="ar-SA"/>
        </w:rPr>
        <w:t>dogs were at an age when growth is rapid and energy requirement is high.</w:t>
      </w:r>
      <w:r w:rsidR="00D13F5D">
        <w:rPr>
          <w:lang w:bidi="ar-SA"/>
        </w:rPr>
        <w:t xml:space="preserve"> The ADI is established by division of the lowest NOAEL (500 mg/kg bw/day) by the total UF (300), approximately equal</w:t>
      </w:r>
      <w:r w:rsidR="00346A25">
        <w:rPr>
          <w:lang w:bidi="ar-SA"/>
        </w:rPr>
        <w:t>ling</w:t>
      </w:r>
      <w:r w:rsidR="00D13F5D">
        <w:rPr>
          <w:lang w:bidi="ar-SA"/>
        </w:rPr>
        <w:t xml:space="preserve"> 1.6</w:t>
      </w:r>
      <w:r w:rsidR="00D91DC0">
        <w:rPr>
          <w:lang w:bidi="ar-SA"/>
        </w:rPr>
        <w:t xml:space="preserve">, </w:t>
      </w:r>
      <w:r>
        <w:rPr>
          <w:lang w:bidi="ar-SA"/>
        </w:rPr>
        <w:t xml:space="preserve">and </w:t>
      </w:r>
      <w:r w:rsidR="00D91DC0">
        <w:rPr>
          <w:lang w:bidi="ar-SA"/>
        </w:rPr>
        <w:t>rounded to</w:t>
      </w:r>
      <w:r w:rsidR="00D13F5D">
        <w:rPr>
          <w:lang w:bidi="ar-SA"/>
        </w:rPr>
        <w:t xml:space="preserve"> </w:t>
      </w:r>
      <w:r w:rsidR="00D91DC0">
        <w:rPr>
          <w:lang w:bidi="ar-SA"/>
        </w:rPr>
        <w:t>2.0</w:t>
      </w:r>
      <w:r w:rsidR="00D13F5D">
        <w:rPr>
          <w:lang w:bidi="ar-SA"/>
        </w:rPr>
        <w:t xml:space="preserve"> mg/kg bw/day. </w:t>
      </w:r>
    </w:p>
    <w:p w14:paraId="3BC25504" w14:textId="77777777" w:rsidR="00AE44AE" w:rsidRDefault="00AE44AE" w:rsidP="002B594B">
      <w:pPr>
        <w:rPr>
          <w:lang w:bidi="ar-SA"/>
        </w:rPr>
      </w:pPr>
    </w:p>
    <w:p w14:paraId="11378C07" w14:textId="1B81E965" w:rsidR="00AE44AE" w:rsidRDefault="00AE44AE" w:rsidP="002B594B">
      <w:pPr>
        <w:rPr>
          <w:lang w:bidi="ar-SA"/>
        </w:rPr>
      </w:pPr>
      <w:r w:rsidRPr="00AE44AE">
        <w:rPr>
          <w:lang w:bidi="ar-SA"/>
        </w:rPr>
        <w:t>In setting this ADI, FSANZ notes that</w:t>
      </w:r>
      <w:r>
        <w:rPr>
          <w:lang w:bidi="ar-SA"/>
        </w:rPr>
        <w:t xml:space="preserve"> in the study on which it is based, the test article was administered as a powder in gelatin capsules, and that the intended use of </w:t>
      </w:r>
      <w:r w:rsidR="00003B29" w:rsidRPr="00003B29">
        <w:rPr>
          <w:lang w:bidi="ar-SA"/>
        </w:rPr>
        <w:t xml:space="preserve">jelly mushroom glycolipids </w:t>
      </w:r>
      <w:r>
        <w:rPr>
          <w:lang w:bidi="ar-SA"/>
        </w:rPr>
        <w:t xml:space="preserve">is as an additive in beverages. The </w:t>
      </w:r>
      <w:r w:rsidR="00402624">
        <w:rPr>
          <w:lang w:bidi="ar-SA"/>
        </w:rPr>
        <w:t xml:space="preserve">gastrointestinal </w:t>
      </w:r>
      <w:r>
        <w:rPr>
          <w:lang w:bidi="ar-SA"/>
        </w:rPr>
        <w:t xml:space="preserve">effects of an oral bolus of powder may not be reflective of effects when </w:t>
      </w:r>
      <w:r w:rsidR="00003B29" w:rsidRPr="00003B29">
        <w:rPr>
          <w:lang w:bidi="ar-SA"/>
        </w:rPr>
        <w:t xml:space="preserve">jelly mushroom glycolipids </w:t>
      </w:r>
      <w:r>
        <w:rPr>
          <w:lang w:bidi="ar-SA"/>
        </w:rPr>
        <w:t xml:space="preserve">are consumed in beverages. Should </w:t>
      </w:r>
      <w:r w:rsidR="0064345A">
        <w:rPr>
          <w:lang w:bidi="ar-SA"/>
        </w:rPr>
        <w:t xml:space="preserve">a </w:t>
      </w:r>
      <w:r>
        <w:rPr>
          <w:lang w:bidi="ar-SA"/>
        </w:rPr>
        <w:t>further study in Beagle dogs</w:t>
      </w:r>
      <w:r w:rsidR="00E2211F">
        <w:rPr>
          <w:lang w:bidi="ar-SA"/>
        </w:rPr>
        <w:t xml:space="preserve"> that more closely models the intended use</w:t>
      </w:r>
      <w:r>
        <w:rPr>
          <w:lang w:bidi="ar-SA"/>
        </w:rPr>
        <w:t xml:space="preserve">, such as administration of </w:t>
      </w:r>
      <w:r w:rsidR="00003B29" w:rsidRPr="00003B29">
        <w:rPr>
          <w:lang w:bidi="ar-SA"/>
        </w:rPr>
        <w:t xml:space="preserve">jelly mushroom glycolipids </w:t>
      </w:r>
      <w:r>
        <w:rPr>
          <w:lang w:bidi="ar-SA"/>
        </w:rPr>
        <w:t>dissolved in drinking water, fail to replicate the adverse effect observed in the capsule study, the ADI could be reconsidered.</w:t>
      </w:r>
      <w:r w:rsidR="00D91DC0">
        <w:rPr>
          <w:lang w:bidi="ar-SA"/>
        </w:rPr>
        <w:t xml:space="preserve"> The ADI could also be subject to reconsideration if a chronic (12 month) study in dogs did not show the same overall effect. </w:t>
      </w:r>
    </w:p>
    <w:p w14:paraId="32E3E8AC" w14:textId="77777777" w:rsidR="00AE44AE" w:rsidRDefault="00AE44AE" w:rsidP="002B594B">
      <w:pPr>
        <w:rPr>
          <w:lang w:bidi="ar-SA"/>
        </w:rPr>
      </w:pPr>
    </w:p>
    <w:p w14:paraId="55D03925" w14:textId="52FA50B3" w:rsidR="00D13F5D" w:rsidRDefault="00D13F5D" w:rsidP="002B594B">
      <w:pPr>
        <w:rPr>
          <w:lang w:bidi="ar-SA"/>
        </w:rPr>
      </w:pPr>
      <w:r>
        <w:rPr>
          <w:lang w:bidi="ar-SA"/>
        </w:rPr>
        <w:t xml:space="preserve">In conclusion, </w:t>
      </w:r>
      <w:r w:rsidR="00AE44AE">
        <w:rPr>
          <w:lang w:bidi="ar-SA"/>
        </w:rPr>
        <w:t xml:space="preserve">FSANZ has identified an ADI of </w:t>
      </w:r>
      <w:r w:rsidR="00D91DC0" w:rsidRPr="00F80812">
        <w:rPr>
          <w:lang w:bidi="ar-SA"/>
        </w:rPr>
        <w:t>2.0</w:t>
      </w:r>
      <w:r w:rsidR="00AE44AE">
        <w:rPr>
          <w:lang w:bidi="ar-SA"/>
        </w:rPr>
        <w:t xml:space="preserve"> mg/kg bw/day, based on decreased bodyweight gain in growing dogs. </w:t>
      </w:r>
    </w:p>
    <w:p w14:paraId="77159FF1" w14:textId="605AAFB0" w:rsidR="007A5872" w:rsidRDefault="001A57F4" w:rsidP="007A5872">
      <w:pPr>
        <w:pStyle w:val="Heading1"/>
      </w:pPr>
      <w:bookmarkStart w:id="134" w:name="_Toc43217064"/>
      <w:bookmarkStart w:id="135" w:name="_Toc44401549"/>
      <w:bookmarkStart w:id="136" w:name="_Toc45284301"/>
      <w:bookmarkStart w:id="137" w:name="_Toc46929424"/>
      <w:r>
        <w:t>5</w:t>
      </w:r>
      <w:r w:rsidR="007A5872">
        <w:tab/>
        <w:t>Dietary Exposure</w:t>
      </w:r>
      <w:r w:rsidR="007A5872" w:rsidRPr="00B13258">
        <w:t xml:space="preserve"> assessment</w:t>
      </w:r>
      <w:bookmarkEnd w:id="134"/>
      <w:bookmarkEnd w:id="135"/>
      <w:bookmarkEnd w:id="136"/>
      <w:bookmarkEnd w:id="137"/>
    </w:p>
    <w:p w14:paraId="1654BFD3" w14:textId="3BB7958B" w:rsidR="00F94C8F" w:rsidRDefault="00F94C8F" w:rsidP="00F94C8F">
      <w:bookmarkStart w:id="138" w:name="_Hlk516831301"/>
      <w:bookmarkStart w:id="139" w:name="_Hlk525050688"/>
      <w:r w:rsidRPr="00844890">
        <w:t xml:space="preserve">This application seeks an amendment </w:t>
      </w:r>
      <w:r>
        <w:t xml:space="preserve">to the </w:t>
      </w:r>
      <w:r w:rsidRPr="00844890">
        <w:t xml:space="preserve">Australia New Zealand Food Standard Code </w:t>
      </w:r>
      <w:r>
        <w:t xml:space="preserve">(the Code) </w:t>
      </w:r>
      <w:r w:rsidRPr="00844890">
        <w:t xml:space="preserve">to permit the use of long-chain glycolipids from </w:t>
      </w:r>
      <w:r w:rsidRPr="00297993">
        <w:rPr>
          <w:i/>
        </w:rPr>
        <w:t>Dacryopinax spathularia</w:t>
      </w:r>
      <w:r w:rsidRPr="00844890">
        <w:t xml:space="preserve"> </w:t>
      </w:r>
      <w:r>
        <w:t>(“</w:t>
      </w:r>
      <w:r w:rsidR="009105AD">
        <w:t>Jelly mushroom glycolipids</w:t>
      </w:r>
      <w:r>
        <w:t xml:space="preserve">”) </w:t>
      </w:r>
      <w:r w:rsidRPr="00844890">
        <w:t xml:space="preserve">as a preservative in </w:t>
      </w:r>
      <w:r>
        <w:t xml:space="preserve">non-alcoholic beverages </w:t>
      </w:r>
      <w:r w:rsidRPr="00844890">
        <w:t xml:space="preserve">at </w:t>
      </w:r>
      <w:r>
        <w:t xml:space="preserve">Good Manufacturing Practice (GMP) levels. The applicant also </w:t>
      </w:r>
      <w:r>
        <w:rPr>
          <w:noProof/>
        </w:rPr>
        <w:t xml:space="preserve">provided information on expected Maximum Permitted Levels (MPLs) in general and specific food categories along with </w:t>
      </w:r>
      <w:r w:rsidR="0060715C">
        <w:rPr>
          <w:noProof/>
        </w:rPr>
        <w:t>usual</w:t>
      </w:r>
      <w:r w:rsidR="00D926E4">
        <w:rPr>
          <w:noProof/>
        </w:rPr>
        <w:t xml:space="preserve"> </w:t>
      </w:r>
      <w:r>
        <w:rPr>
          <w:noProof/>
        </w:rPr>
        <w:t>usage levels</w:t>
      </w:r>
      <w:bookmarkEnd w:id="138"/>
      <w:r>
        <w:t xml:space="preserve">. </w:t>
      </w:r>
    </w:p>
    <w:p w14:paraId="2D880CD4" w14:textId="77777777" w:rsidR="00F94C8F" w:rsidRPr="00844890" w:rsidRDefault="00F94C8F" w:rsidP="00F94C8F"/>
    <w:bookmarkEnd w:id="139"/>
    <w:p w14:paraId="4C4FB713" w14:textId="23125F65" w:rsidR="00F94C8F" w:rsidRDefault="00F94C8F" w:rsidP="00F94C8F">
      <w:r>
        <w:t>Dietary exposure</w:t>
      </w:r>
      <w:r w:rsidRPr="00C472DB">
        <w:t xml:space="preserve"> assessments require data on the concentrations of the chemical of interest in the foods requested, </w:t>
      </w:r>
      <w:r>
        <w:t xml:space="preserve">including </w:t>
      </w:r>
      <w:r w:rsidRPr="00C472DB">
        <w:t xml:space="preserve">any naturally-occurring sources and any current </w:t>
      </w:r>
      <w:r w:rsidRPr="00093AD0">
        <w:t>permission</w:t>
      </w:r>
      <w:r>
        <w:t>s</w:t>
      </w:r>
      <w:r w:rsidRPr="00C472DB">
        <w:t xml:space="preserve"> for additions to food; and consumption data for the foods that have been collected through a national nutrition survey. The dietary </w:t>
      </w:r>
      <w:r>
        <w:t>exposure</w:t>
      </w:r>
      <w:r w:rsidRPr="00C472DB">
        <w:t xml:space="preserve">s </w:t>
      </w:r>
      <w:r>
        <w:t>to</w:t>
      </w:r>
      <w:r w:rsidRPr="00C472DB">
        <w:t xml:space="preserve"> </w:t>
      </w:r>
      <w:r w:rsidR="004C28B5">
        <w:t>j</w:t>
      </w:r>
      <w:r w:rsidR="009105AD">
        <w:t>elly mushroom glycolipids</w:t>
      </w:r>
      <w:r w:rsidRPr="00C472DB">
        <w:t xml:space="preserve"> </w:t>
      </w:r>
      <w:r>
        <w:t xml:space="preserve">were </w:t>
      </w:r>
      <w:r w:rsidRPr="00C472DB">
        <w:t>estimated usin</w:t>
      </w:r>
      <w:r>
        <w:t>g (1) </w:t>
      </w:r>
      <w:r w:rsidRPr="00C472DB">
        <w:t xml:space="preserve">the MPLs in the requested food categories; </w:t>
      </w:r>
      <w:r>
        <w:t>(2) </w:t>
      </w:r>
      <w:r w:rsidR="0060715C">
        <w:t>usual</w:t>
      </w:r>
      <w:r w:rsidR="007562A0">
        <w:t xml:space="preserve"> </w:t>
      </w:r>
      <w:r>
        <w:t xml:space="preserve">use levels in the requested food categories, as provided by the Applicant; and </w:t>
      </w:r>
      <w:r w:rsidRPr="00C472DB">
        <w:t>(</w:t>
      </w:r>
      <w:r>
        <w:t xml:space="preserve">3) </w:t>
      </w:r>
      <w:r w:rsidRPr="00C472DB">
        <w:t>food consumption data from the most recent Australian and New Zealand national nutrition surveys.</w:t>
      </w:r>
      <w:r>
        <w:t xml:space="preserve"> </w:t>
      </w:r>
      <w:r w:rsidRPr="00093AD0">
        <w:t xml:space="preserve">Dietary exposures to </w:t>
      </w:r>
      <w:r w:rsidR="004C28B5">
        <w:t>je</w:t>
      </w:r>
      <w:r w:rsidR="009105AD">
        <w:t>lly mushroom glycolipids</w:t>
      </w:r>
      <w:r>
        <w:t xml:space="preserve"> from naturally occurring sources were not included (see discussion in Section</w:t>
      </w:r>
      <w:r w:rsidR="00E224B4">
        <w:t xml:space="preserve"> </w:t>
      </w:r>
      <w:r w:rsidR="00E224B4">
        <w:fldChar w:fldCharType="begin"/>
      </w:r>
      <w:r w:rsidR="00E224B4">
        <w:instrText xml:space="preserve"> REF _Ref44140985 \h </w:instrText>
      </w:r>
      <w:r w:rsidR="00E224B4">
        <w:fldChar w:fldCharType="separate"/>
      </w:r>
      <w:r w:rsidR="00E202C8">
        <w:t>5.1 Jelly mushroom glycolipids in other foods</w:t>
      </w:r>
      <w:r w:rsidR="00E224B4">
        <w:fldChar w:fldCharType="end"/>
      </w:r>
      <w:r w:rsidRPr="00093AD0">
        <w:t>).</w:t>
      </w:r>
      <w:r w:rsidRPr="00C472DB">
        <w:t xml:space="preserve"> The dietary </w:t>
      </w:r>
      <w:r>
        <w:t>exposure</w:t>
      </w:r>
      <w:r w:rsidRPr="00C472DB">
        <w:t xml:space="preserve"> assessments were undertaken using FSANZ’s dietary modelling computer program, Harvest</w:t>
      </w:r>
      <w:r w:rsidRPr="00C472DB">
        <w:rPr>
          <w:rStyle w:val="FootnoteReference"/>
        </w:rPr>
        <w:footnoteReference w:id="2"/>
      </w:r>
      <w:r w:rsidRPr="00C472DB">
        <w:t>.</w:t>
      </w:r>
    </w:p>
    <w:p w14:paraId="762934BB" w14:textId="77777777" w:rsidR="002746B1" w:rsidRPr="00FE5121" w:rsidRDefault="002746B1" w:rsidP="00F94C8F"/>
    <w:p w14:paraId="292F414D" w14:textId="449B7139" w:rsidR="00F94C8F" w:rsidRPr="00FE0034" w:rsidRDefault="00F94C8F" w:rsidP="00F94C8F">
      <w:r w:rsidRPr="00FE0034">
        <w:t xml:space="preserve">A summary of </w:t>
      </w:r>
      <w:r w:rsidR="000E3D3A">
        <w:t xml:space="preserve">some of the details of </w:t>
      </w:r>
      <w:r w:rsidRPr="00FE0034">
        <w:t xml:space="preserve">the FSANZ approach to conducting the dietary </w:t>
      </w:r>
      <w:r>
        <w:t xml:space="preserve">exposure </w:t>
      </w:r>
      <w:r w:rsidRPr="00FE0034">
        <w:t>asses</w:t>
      </w:r>
      <w:r>
        <w:t>sment for this Application</w:t>
      </w:r>
      <w:r w:rsidR="000E3D3A">
        <w:t xml:space="preserve"> including the </w:t>
      </w:r>
      <w:r w:rsidR="00C575C1">
        <w:t>nutrition survey consumption data</w:t>
      </w:r>
      <w:r w:rsidR="000E3D3A">
        <w:t>, calculations, assumptions and limitations,</w:t>
      </w:r>
      <w:r>
        <w:t xml:space="preserve"> is in </w:t>
      </w:r>
      <w:r w:rsidRPr="009F6F1E">
        <w:fldChar w:fldCharType="begin"/>
      </w:r>
      <w:r w:rsidRPr="009F6F1E">
        <w:instrText xml:space="preserve"> REF _Ref406592480 \h  \* MERGEFORMAT </w:instrText>
      </w:r>
      <w:r w:rsidRPr="009F6F1E">
        <w:fldChar w:fldCharType="separate"/>
      </w:r>
      <w:r w:rsidR="00E202C8" w:rsidRPr="00E202C8">
        <w:rPr>
          <w:bCs/>
        </w:rPr>
        <w:t xml:space="preserve">Appendix </w:t>
      </w:r>
      <w:r w:rsidR="00E202C8" w:rsidRPr="00E202C8">
        <w:rPr>
          <w:bCs/>
          <w:noProof/>
        </w:rPr>
        <w:t>1</w:t>
      </w:r>
      <w:r w:rsidRPr="009F6F1E">
        <w:fldChar w:fldCharType="end"/>
      </w:r>
      <w:r>
        <w:t>.</w:t>
      </w:r>
      <w:r w:rsidRPr="00FE0034">
        <w:t xml:space="preserve"> A detailed discussion of the FSANZ methodology and approach to conducting dietary </w:t>
      </w:r>
      <w:r>
        <w:t>exposure</w:t>
      </w:r>
      <w:r w:rsidRPr="00FE0034">
        <w:t xml:space="preserve"> assessments is set out in </w:t>
      </w:r>
      <w:r w:rsidRPr="00FE0034">
        <w:rPr>
          <w:i/>
        </w:rPr>
        <w:t xml:space="preserve">Principles and Practices of Dietary Exposure Assessment for Food Regulatory Purposes </w:t>
      </w:r>
      <w:r w:rsidRPr="00FE0034">
        <w:t>(FSANZ 2009).</w:t>
      </w:r>
    </w:p>
    <w:p w14:paraId="47D69C45" w14:textId="208AEB09" w:rsidR="00F94C8F" w:rsidRDefault="00F94C8F" w:rsidP="000D20BD">
      <w:pPr>
        <w:pStyle w:val="Heading2"/>
      </w:pPr>
      <w:bookmarkStart w:id="140" w:name="_Toc43217065"/>
      <w:bookmarkStart w:id="141" w:name="_Ref44140985"/>
      <w:bookmarkStart w:id="142" w:name="_Ref44140991"/>
      <w:bookmarkStart w:id="143" w:name="_Ref44141004"/>
      <w:bookmarkStart w:id="144" w:name="_Ref44141012"/>
      <w:bookmarkStart w:id="145" w:name="_Toc44401550"/>
      <w:bookmarkStart w:id="146" w:name="_Toc45284302"/>
      <w:bookmarkStart w:id="147" w:name="_Toc46929425"/>
      <w:r>
        <w:t xml:space="preserve">5.1 </w:t>
      </w:r>
      <w:r w:rsidR="009105AD">
        <w:t>Jelly mushroom</w:t>
      </w:r>
      <w:r>
        <w:t xml:space="preserve"> glycolipids in other foods</w:t>
      </w:r>
      <w:bookmarkEnd w:id="140"/>
      <w:bookmarkEnd w:id="141"/>
      <w:bookmarkEnd w:id="142"/>
      <w:bookmarkEnd w:id="143"/>
      <w:bookmarkEnd w:id="144"/>
      <w:bookmarkEnd w:id="145"/>
      <w:bookmarkEnd w:id="146"/>
      <w:bookmarkEnd w:id="147"/>
    </w:p>
    <w:p w14:paraId="4429F3B5" w14:textId="26DF5F3B" w:rsidR="00893B39" w:rsidDel="00893B39" w:rsidRDefault="00F94C8F" w:rsidP="00893B39">
      <w:r>
        <w:t>The applicant provided research on concentrations of varying glycolipid</w:t>
      </w:r>
      <w:r w:rsidR="00015E2B">
        <w:t>s with different</w:t>
      </w:r>
      <w:r>
        <w:t xml:space="preserve"> structures from naturally-occurring sources including where ‘Natural Glycolipids’ were presented as Ceramide equivalents (sum of Sphingomyelin and Glycosphingolipids) in some common foods (LeRay, 2015). </w:t>
      </w:r>
      <w:r w:rsidR="00271FA6">
        <w:t xml:space="preserve">Glycolipids can be found across numerous natural sources, however the structure and chemical makeup do differ from </w:t>
      </w:r>
      <w:r w:rsidR="004C28B5">
        <w:t>j</w:t>
      </w:r>
      <w:r w:rsidR="00271FA6">
        <w:t>elly mushroom glycolipids. N</w:t>
      </w:r>
      <w:r>
        <w:t xml:space="preserve">aturally occurring sources of </w:t>
      </w:r>
      <w:r w:rsidR="004C28B5">
        <w:t>j</w:t>
      </w:r>
      <w:r w:rsidR="009105AD">
        <w:t>elly mushroom glycolipids</w:t>
      </w:r>
      <w:r>
        <w:t xml:space="preserve"> are specific to </w:t>
      </w:r>
      <w:r w:rsidRPr="00844890">
        <w:t xml:space="preserve">the edible jelly fungus </w:t>
      </w:r>
      <w:r w:rsidRPr="00844890">
        <w:rPr>
          <w:i/>
        </w:rPr>
        <w:t>Dacryopinax spathularia</w:t>
      </w:r>
      <w:r w:rsidRPr="00844890">
        <w:t>, also known as sweet osmanthus ear</w:t>
      </w:r>
      <w:r>
        <w:t xml:space="preserve">, </w:t>
      </w:r>
      <w:r w:rsidRPr="00844890">
        <w:rPr>
          <w:i/>
        </w:rPr>
        <w:t>Cantharellus spathularius</w:t>
      </w:r>
      <w:r>
        <w:rPr>
          <w:i/>
        </w:rPr>
        <w:t xml:space="preserve"> or Guepinia spathularia.</w:t>
      </w:r>
      <w:r>
        <w:t xml:space="preserve"> </w:t>
      </w:r>
      <w:r w:rsidR="001C6A7A">
        <w:t xml:space="preserve">Jelly mushroom glycolipids have not been found within naturally occurring sources outside of the </w:t>
      </w:r>
      <w:r w:rsidR="001C6A7A" w:rsidRPr="00844890">
        <w:rPr>
          <w:i/>
        </w:rPr>
        <w:t>Dacryopinax spathularia</w:t>
      </w:r>
      <w:r w:rsidR="00271FA6">
        <w:t>.</w:t>
      </w:r>
      <w:r w:rsidR="0060715C">
        <w:t xml:space="preserve"> </w:t>
      </w:r>
      <w:r w:rsidR="00B9267D">
        <w:t>Toxicity s</w:t>
      </w:r>
      <w:r w:rsidR="00271FA6">
        <w:t xml:space="preserve">tudies </w:t>
      </w:r>
      <w:r w:rsidR="00893B39">
        <w:t>investigating</w:t>
      </w:r>
      <w:r w:rsidR="00271FA6">
        <w:t xml:space="preserve"> </w:t>
      </w:r>
      <w:r w:rsidR="004C28B5">
        <w:t>j</w:t>
      </w:r>
      <w:r w:rsidR="00271FA6">
        <w:t>elly mushroom glycolipids</w:t>
      </w:r>
      <w:r w:rsidR="00B9267D">
        <w:t>, discussed above in 4.2.2, 4.2.3 and 4.2.4,</w:t>
      </w:r>
      <w:r w:rsidR="00271FA6">
        <w:t xml:space="preserve"> typ</w:t>
      </w:r>
      <w:r w:rsidR="00B9267D">
        <w:t xml:space="preserve">ically assess the glycolipid as AM-1, which is the hydrolysed preparation of the jelly mushroom glycolipid </w:t>
      </w:r>
      <w:r w:rsidR="00271FA6">
        <w:t xml:space="preserve">and </w:t>
      </w:r>
      <w:r w:rsidR="00893B39">
        <w:t>do</w:t>
      </w:r>
      <w:r w:rsidR="00271FA6">
        <w:t xml:space="preserve"> not administer</w:t>
      </w:r>
      <w:r w:rsidR="00893B39">
        <w:t xml:space="preserve"> it </w:t>
      </w:r>
      <w:r w:rsidR="00271FA6">
        <w:t>in its naturally occurring state. T</w:t>
      </w:r>
      <w:r w:rsidR="001C6A7A">
        <w:rPr>
          <w:lang w:bidi="ar-SA"/>
        </w:rPr>
        <w:t xml:space="preserve">here are </w:t>
      </w:r>
      <w:r w:rsidR="00271FA6">
        <w:rPr>
          <w:lang w:bidi="ar-SA"/>
        </w:rPr>
        <w:t xml:space="preserve">also </w:t>
      </w:r>
      <w:r w:rsidR="001C6A7A">
        <w:rPr>
          <w:lang w:bidi="ar-SA"/>
        </w:rPr>
        <w:t>currently no</w:t>
      </w:r>
      <w:r w:rsidR="00271FA6">
        <w:rPr>
          <w:lang w:bidi="ar-SA"/>
        </w:rPr>
        <w:t xml:space="preserve"> naturally occurring or additive based</w:t>
      </w:r>
      <w:r w:rsidR="001C6A7A">
        <w:rPr>
          <w:lang w:bidi="ar-SA"/>
        </w:rPr>
        <w:t xml:space="preserve"> assessments of </w:t>
      </w:r>
      <w:r w:rsidR="001C6A7A" w:rsidRPr="00003B29">
        <w:rPr>
          <w:lang w:bidi="ar-SA"/>
        </w:rPr>
        <w:t xml:space="preserve">jelly mushroom glycolipids </w:t>
      </w:r>
      <w:r w:rsidR="001C6A7A">
        <w:rPr>
          <w:lang w:bidi="ar-SA"/>
        </w:rPr>
        <w:t xml:space="preserve">by other national </w:t>
      </w:r>
      <w:r w:rsidR="0010108A">
        <w:rPr>
          <w:lang w:bidi="ar-SA"/>
        </w:rPr>
        <w:t xml:space="preserve">or international </w:t>
      </w:r>
      <w:r w:rsidR="001C6A7A">
        <w:rPr>
          <w:lang w:bidi="ar-SA"/>
        </w:rPr>
        <w:t>regulatory agencies</w:t>
      </w:r>
      <w:r w:rsidR="00344708">
        <w:rPr>
          <w:lang w:bidi="ar-SA"/>
        </w:rPr>
        <w:t>.</w:t>
      </w:r>
      <w:r w:rsidR="00893B39" w:rsidRPr="00893B39">
        <w:t xml:space="preserve"> </w:t>
      </w:r>
      <w:r w:rsidR="00893B39">
        <w:t>Jelly mushroom glycolipids are also not currently present in</w:t>
      </w:r>
      <w:r w:rsidR="00893B39" w:rsidRPr="00B01133">
        <w:t xml:space="preserve"> foods </w:t>
      </w:r>
      <w:r w:rsidR="00893B39">
        <w:t>with</w:t>
      </w:r>
      <w:r w:rsidR="00893B39" w:rsidRPr="00B01133">
        <w:t xml:space="preserve">in the Australian and New </w:t>
      </w:r>
      <w:r w:rsidR="00893B39">
        <w:t>Zealand food supply outside of</w:t>
      </w:r>
      <w:r w:rsidR="00893B39" w:rsidRPr="00370B9F">
        <w:rPr>
          <w:i/>
        </w:rPr>
        <w:t xml:space="preserve"> </w:t>
      </w:r>
      <w:r w:rsidR="00893B39">
        <w:rPr>
          <w:i/>
        </w:rPr>
        <w:t>Dacryopinax spathularia</w:t>
      </w:r>
      <w:r w:rsidR="0010108A">
        <w:rPr>
          <w:i/>
        </w:rPr>
        <w:t>.</w:t>
      </w:r>
      <w:r w:rsidR="0010108A" w:rsidRPr="0010108A">
        <w:t xml:space="preserve"> </w:t>
      </w:r>
      <w:r w:rsidR="0010108A" w:rsidRPr="005937D3">
        <w:t>This source</w:t>
      </w:r>
      <w:r w:rsidR="00893B39" w:rsidRPr="00893B39">
        <w:t xml:space="preserve"> is not a common</w:t>
      </w:r>
      <w:r w:rsidR="009442B2">
        <w:t>ly</w:t>
      </w:r>
      <w:r w:rsidR="00893B39" w:rsidRPr="00893B39">
        <w:t xml:space="preserve"> </w:t>
      </w:r>
      <w:r w:rsidR="0010108A">
        <w:t xml:space="preserve">consumed </w:t>
      </w:r>
      <w:r w:rsidR="00893B39" w:rsidRPr="00893B39">
        <w:t>commodity</w:t>
      </w:r>
      <w:r w:rsidR="00893B39">
        <w:t xml:space="preserve"> and also has minimal conce</w:t>
      </w:r>
      <w:r w:rsidR="009442B2">
        <w:t>n</w:t>
      </w:r>
      <w:r w:rsidR="00893B39">
        <w:t>t</w:t>
      </w:r>
      <w:r w:rsidR="009442B2">
        <w:t>r</w:t>
      </w:r>
      <w:r w:rsidR="00893B39">
        <w:t>ation data for naturally occurring sources</w:t>
      </w:r>
      <w:r w:rsidR="0010108A">
        <w:t>,</w:t>
      </w:r>
      <w:r w:rsidR="00893B39">
        <w:t xml:space="preserve"> no consolidated data set or set standard structure relating to the </w:t>
      </w:r>
      <w:r w:rsidR="0010108A">
        <w:t>concentration</w:t>
      </w:r>
      <w:r w:rsidR="00893B39">
        <w:t xml:space="preserve"> values. </w:t>
      </w:r>
      <w:r w:rsidR="0010108A">
        <w:t>For these reasons it is not possible to derive a concentration from naturally occurring sources. As a result of all of these considerations</w:t>
      </w:r>
      <w:r w:rsidR="00893B39">
        <w:t xml:space="preserve">, the dietary exposure assessment for this application only considers additives uses. </w:t>
      </w:r>
    </w:p>
    <w:p w14:paraId="41DB474B" w14:textId="0AFB08C8" w:rsidR="004B571F" w:rsidRDefault="004B571F" w:rsidP="00F94C8F"/>
    <w:p w14:paraId="2C1F53E9" w14:textId="2315A1A0" w:rsidR="00B54D61" w:rsidRDefault="00F94C8F" w:rsidP="00F94C8F">
      <w:r>
        <w:t xml:space="preserve">The decision tree used to determine the </w:t>
      </w:r>
      <w:r w:rsidR="00EC0F42">
        <w:t>glycolipids and sources</w:t>
      </w:r>
      <w:r>
        <w:t xml:space="preserve"> to include in the dietary exposure assessment </w:t>
      </w:r>
      <w:r w:rsidR="00EC0F42">
        <w:t xml:space="preserve">is </w:t>
      </w:r>
      <w:r>
        <w:t xml:space="preserve">provided in </w:t>
      </w:r>
      <w:r w:rsidR="00AB3E19">
        <w:rPr>
          <w:b/>
        </w:rPr>
        <w:t>Figure 6.</w:t>
      </w:r>
      <w:r w:rsidR="00AD4112">
        <w:t xml:space="preserve"> The bolded box shows the outcome from the decision tree.</w:t>
      </w:r>
    </w:p>
    <w:p w14:paraId="5AFA6A0C" w14:textId="77777777" w:rsidR="00B54D61" w:rsidRDefault="00B54D61">
      <w:pPr>
        <w:widowControl/>
      </w:pPr>
      <w:r>
        <w:br w:type="page"/>
      </w:r>
    </w:p>
    <w:p w14:paraId="144434EF" w14:textId="77777777" w:rsidR="00543BA2" w:rsidRDefault="00543BA2">
      <w:pPr>
        <w:widowControl/>
        <w:rPr>
          <w:lang w:bidi="ar-SA"/>
        </w:rPr>
      </w:pPr>
    </w:p>
    <w:p w14:paraId="35243931" w14:textId="0B851305" w:rsidR="00DE4D69" w:rsidRPr="009C7E42" w:rsidRDefault="00DE4D69" w:rsidP="00DE4D69">
      <w:pPr>
        <w:keepNext/>
        <w:keepLines/>
        <w:rPr>
          <w:color w:val="548DD4" w:themeColor="text2" w:themeTint="99"/>
          <w:lang w:val="en"/>
        </w:rPr>
      </w:pPr>
      <w:r>
        <w:rPr>
          <w:noProof/>
          <w:color w:val="548DD4" w:themeColor="text2" w:themeTint="99"/>
          <w:lang w:eastAsia="en-GB" w:bidi="ar-SA"/>
        </w:rPr>
        <mc:AlternateContent>
          <mc:Choice Requires="wpg">
            <w:drawing>
              <wp:anchor distT="0" distB="0" distL="114300" distR="114300" simplePos="0" relativeHeight="251658254" behindDoc="0" locked="0" layoutInCell="1" allowOverlap="1" wp14:anchorId="46011B2D" wp14:editId="7EC4626D">
                <wp:simplePos x="0" y="0"/>
                <wp:positionH relativeFrom="column">
                  <wp:posOffset>4445</wp:posOffset>
                </wp:positionH>
                <wp:positionV relativeFrom="paragraph">
                  <wp:posOffset>-14605</wp:posOffset>
                </wp:positionV>
                <wp:extent cx="5726430" cy="4300219"/>
                <wp:effectExtent l="0" t="0" r="26670" b="5715"/>
                <wp:wrapNone/>
                <wp:docPr id="84" name="Group 84"/>
                <wp:cNvGraphicFramePr/>
                <a:graphic xmlns:a="http://schemas.openxmlformats.org/drawingml/2006/main">
                  <a:graphicData uri="http://schemas.microsoft.com/office/word/2010/wordprocessingGroup">
                    <wpg:wgp>
                      <wpg:cNvGrpSpPr/>
                      <wpg:grpSpPr>
                        <a:xfrm>
                          <a:off x="0" y="0"/>
                          <a:ext cx="5726430" cy="4300219"/>
                          <a:chOff x="0" y="-95250"/>
                          <a:chExt cx="5726430" cy="4300219"/>
                        </a:xfrm>
                      </wpg:grpSpPr>
                      <wps:wsp>
                        <wps:cNvPr id="85" name="Rounded Rectangle 85"/>
                        <wps:cNvSpPr/>
                        <wps:spPr>
                          <a:xfrm>
                            <a:off x="4419600" y="2238375"/>
                            <a:ext cx="1298575" cy="1884045"/>
                          </a:xfrm>
                          <a:prstGeom prst="roundRect">
                            <a:avLst>
                              <a:gd name="adj" fmla="val 14126"/>
                            </a:avLst>
                          </a:prstGeom>
                          <a:solidFill>
                            <a:schemeClr val="accent5">
                              <a:lumMod val="20000"/>
                              <a:lumOff val="80000"/>
                            </a:schemeClr>
                          </a:solidFill>
                          <a:ln w="76200" cap="flat" cmpd="sng" algn="ctr">
                            <a:solidFill>
                              <a:schemeClr val="accent5">
                                <a:lumMod val="75000"/>
                              </a:schemeClr>
                            </a:solidFill>
                            <a:prstDash val="solid"/>
                          </a:ln>
                          <a:effectLst/>
                        </wps:spPr>
                        <wps:txbx>
                          <w:txbxContent>
                            <w:p w14:paraId="12EE43CC" w14:textId="77777777" w:rsidR="00E202C8" w:rsidRPr="00055E24" w:rsidRDefault="00E202C8" w:rsidP="00DE4D69">
                              <w:pPr>
                                <w:jc w:val="center"/>
                                <w:rPr>
                                  <w:color w:val="FFFFFF" w:themeColor="background1"/>
                                </w:rPr>
                              </w:pPr>
                              <w:r w:rsidRPr="00764705">
                                <w:rPr>
                                  <w:rFonts w:ascii="Helvetica" w:hAnsi="Helvetica" w:cs="Helvetica"/>
                                  <w:b/>
                                  <w:lang w:val="en"/>
                                </w:rPr>
                                <w:t>Dietary Exposure Assessment on only additive sources.</w:t>
                              </w:r>
                              <w:r w:rsidRPr="00055E24">
                                <w:rPr>
                                  <w:rFonts w:ascii="Helvetica" w:hAnsi="Helvetica" w:cs="Helvetica"/>
                                  <w:b/>
                                  <w:color w:val="FFFFFF" w:themeColor="background1"/>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Text Box 2"/>
                        <wps:cNvSpPr txBox="1">
                          <a:spLocks noChangeArrowheads="1"/>
                        </wps:cNvSpPr>
                        <wps:spPr bwMode="auto">
                          <a:xfrm>
                            <a:off x="1781175" y="3943350"/>
                            <a:ext cx="1512569" cy="261619"/>
                          </a:xfrm>
                          <a:prstGeom prst="rect">
                            <a:avLst/>
                          </a:prstGeom>
                          <a:noFill/>
                          <a:ln w="9525">
                            <a:noFill/>
                            <a:miter lim="800000"/>
                            <a:headEnd/>
                            <a:tailEnd/>
                          </a:ln>
                        </wps:spPr>
                        <wps:txbx>
                          <w:txbxContent>
                            <w:p w14:paraId="59ABB709" w14:textId="77777777" w:rsidR="00E202C8" w:rsidRPr="00073626" w:rsidRDefault="00E202C8" w:rsidP="00DE4D69">
                              <w:pPr>
                                <w:rPr>
                                  <w:b/>
                                </w:rPr>
                              </w:pPr>
                              <w:r>
                                <w:rPr>
                                  <w:b/>
                                </w:rPr>
                                <w:t>Yes</w:t>
                              </w:r>
                            </w:p>
                          </w:txbxContent>
                        </wps:txbx>
                        <wps:bodyPr rot="0" vert="horz" wrap="square" lIns="91440" tIns="45720" rIns="91440" bIns="45720" anchor="t" anchorCtr="0">
                          <a:spAutoFit/>
                        </wps:bodyPr>
                      </wps:wsp>
                      <wps:wsp>
                        <wps:cNvPr id="87" name="Straight Arrow Connector 87"/>
                        <wps:cNvCnPr/>
                        <wps:spPr>
                          <a:xfrm>
                            <a:off x="1724025" y="3886200"/>
                            <a:ext cx="0" cy="259715"/>
                          </a:xfrm>
                          <a:prstGeom prst="straightConnector1">
                            <a:avLst/>
                          </a:prstGeom>
                          <a:noFill/>
                          <a:ln w="38100" cap="flat" cmpd="sng" algn="ctr">
                            <a:solidFill>
                              <a:srgbClr val="4BACC6">
                                <a:lumMod val="40000"/>
                                <a:lumOff val="60000"/>
                              </a:srgbClr>
                            </a:solidFill>
                            <a:prstDash val="solid"/>
                            <a:tailEnd type="triangle"/>
                          </a:ln>
                          <a:effectLst/>
                        </wps:spPr>
                        <wps:bodyPr/>
                      </wps:wsp>
                      <wps:wsp>
                        <wps:cNvPr id="88" name="Straight Arrow Connector 88"/>
                        <wps:cNvCnPr/>
                        <wps:spPr>
                          <a:xfrm>
                            <a:off x="1790700" y="2762250"/>
                            <a:ext cx="0" cy="259715"/>
                          </a:xfrm>
                          <a:prstGeom prst="straightConnector1">
                            <a:avLst/>
                          </a:prstGeom>
                          <a:noFill/>
                          <a:ln w="38100" cap="flat" cmpd="sng" algn="ctr">
                            <a:solidFill>
                              <a:srgbClr val="4BACC6">
                                <a:lumMod val="40000"/>
                                <a:lumOff val="60000"/>
                              </a:srgbClr>
                            </a:solidFill>
                            <a:prstDash val="solid"/>
                            <a:tailEnd type="triangle"/>
                          </a:ln>
                          <a:effectLst/>
                        </wps:spPr>
                        <wps:bodyPr/>
                      </wps:wsp>
                      <wps:wsp>
                        <wps:cNvPr id="89" name="Straight Arrow Connector 89"/>
                        <wps:cNvCnPr/>
                        <wps:spPr>
                          <a:xfrm>
                            <a:off x="1781175" y="1838325"/>
                            <a:ext cx="0" cy="259715"/>
                          </a:xfrm>
                          <a:prstGeom prst="straightConnector1">
                            <a:avLst/>
                          </a:prstGeom>
                          <a:noFill/>
                          <a:ln w="38100" cap="flat" cmpd="sng" algn="ctr">
                            <a:solidFill>
                              <a:srgbClr val="4BACC6">
                                <a:lumMod val="40000"/>
                                <a:lumOff val="60000"/>
                              </a:srgbClr>
                            </a:solidFill>
                            <a:prstDash val="solid"/>
                            <a:tailEnd type="triangle"/>
                          </a:ln>
                          <a:effectLst/>
                        </wps:spPr>
                        <wps:bodyPr/>
                      </wps:wsp>
                      <wps:wsp>
                        <wps:cNvPr id="90" name="Text Box 2"/>
                        <wps:cNvSpPr txBox="1">
                          <a:spLocks noChangeArrowheads="1"/>
                        </wps:cNvSpPr>
                        <wps:spPr bwMode="auto">
                          <a:xfrm flipH="1">
                            <a:off x="3971925" y="3171335"/>
                            <a:ext cx="501014" cy="261619"/>
                          </a:xfrm>
                          <a:prstGeom prst="rect">
                            <a:avLst/>
                          </a:prstGeom>
                          <a:noFill/>
                          <a:ln w="9525">
                            <a:noFill/>
                            <a:miter lim="800000"/>
                            <a:headEnd/>
                            <a:tailEnd/>
                          </a:ln>
                        </wps:spPr>
                        <wps:txbx>
                          <w:txbxContent>
                            <w:p w14:paraId="2B99AA83" w14:textId="77777777" w:rsidR="00E202C8" w:rsidRPr="00073626" w:rsidRDefault="00E202C8" w:rsidP="00DE4D69">
                              <w:pPr>
                                <w:rPr>
                                  <w:b/>
                                </w:rPr>
                              </w:pPr>
                              <w:r>
                                <w:rPr>
                                  <w:b/>
                                </w:rPr>
                                <w:t>No</w:t>
                              </w:r>
                            </w:p>
                          </w:txbxContent>
                        </wps:txbx>
                        <wps:bodyPr rot="0" vert="horz" wrap="square" lIns="91440" tIns="45720" rIns="91440" bIns="45720" anchor="t" anchorCtr="0">
                          <a:spAutoFit/>
                        </wps:bodyPr>
                      </wps:wsp>
                      <wps:wsp>
                        <wps:cNvPr id="91" name="Rounded Rectangle 91"/>
                        <wps:cNvSpPr/>
                        <wps:spPr>
                          <a:xfrm>
                            <a:off x="4438650" y="19050"/>
                            <a:ext cx="1287780" cy="2035010"/>
                          </a:xfrm>
                          <a:prstGeom prst="roundRect">
                            <a:avLst/>
                          </a:prstGeom>
                          <a:solidFill>
                            <a:schemeClr val="accent5">
                              <a:lumMod val="20000"/>
                              <a:lumOff val="80000"/>
                            </a:schemeClr>
                          </a:solidFill>
                          <a:ln w="25400" cap="flat" cmpd="sng" algn="ctr">
                            <a:solidFill>
                              <a:srgbClr val="4BACC6">
                                <a:lumMod val="40000"/>
                                <a:lumOff val="60000"/>
                              </a:srgbClr>
                            </a:solidFill>
                            <a:prstDash val="solid"/>
                          </a:ln>
                          <a:effectLst/>
                        </wps:spPr>
                        <wps:txbx>
                          <w:txbxContent>
                            <w:p w14:paraId="412F400D" w14:textId="77777777" w:rsidR="00E202C8" w:rsidRPr="00764705" w:rsidRDefault="00E202C8" w:rsidP="00DE4D69">
                              <w:pPr>
                                <w:jc w:val="center"/>
                                <w:rPr>
                                  <w:rFonts w:ascii="Helvetica" w:hAnsi="Helvetica" w:cs="Helvetica"/>
                                  <w:b/>
                                </w:rPr>
                              </w:pPr>
                              <w:r>
                                <w:rPr>
                                  <w:rFonts w:ascii="Helvetica" w:hAnsi="Helvetica" w:cs="Helvetica"/>
                                  <w:b/>
                                </w:rPr>
                                <w:t>Data needed on</w:t>
                              </w:r>
                              <w:r w:rsidRPr="00764705">
                                <w:rPr>
                                  <w:rFonts w:ascii="Helvetica" w:hAnsi="Helvetica" w:cs="Helvetica"/>
                                  <w:b/>
                                </w:rPr>
                                <w:t>:</w:t>
                              </w:r>
                            </w:p>
                            <w:p w14:paraId="4CB9121B" w14:textId="7ED1BAC0" w:rsidR="00E202C8" w:rsidRPr="00764705" w:rsidRDefault="00E202C8" w:rsidP="00DE4D69">
                              <w:pPr>
                                <w:jc w:val="center"/>
                                <w:rPr>
                                  <w:rFonts w:ascii="Helvetica" w:hAnsi="Helvetica" w:cs="Helvetica"/>
                                  <w:b/>
                                  <w:sz w:val="18"/>
                                  <w:szCs w:val="18"/>
                                  <w:lang w:val="en"/>
                                </w:rPr>
                              </w:pPr>
                              <w:r>
                                <w:rPr>
                                  <w:rFonts w:ascii="Helvetica" w:hAnsi="Helvetica" w:cs="Helvetica"/>
                                  <w:sz w:val="18"/>
                                  <w:szCs w:val="18"/>
                                </w:rPr>
                                <w:t>C</w:t>
                              </w:r>
                              <w:r w:rsidRPr="00764705">
                                <w:rPr>
                                  <w:rFonts w:ascii="Helvetica" w:hAnsi="Helvetica" w:cs="Helvetica"/>
                                  <w:sz w:val="18"/>
                                  <w:szCs w:val="18"/>
                                </w:rPr>
                                <w:t>oncentrations of all</w:t>
                              </w:r>
                              <w:r>
                                <w:rPr>
                                  <w:rFonts w:ascii="Helvetica" w:hAnsi="Helvetica" w:cs="Helvetica"/>
                                  <w:sz w:val="18"/>
                                  <w:szCs w:val="18"/>
                                </w:rPr>
                                <w:t xml:space="preserve"> of</w:t>
                              </w:r>
                              <w:r w:rsidRPr="00764705">
                                <w:rPr>
                                  <w:rFonts w:ascii="Helvetica" w:hAnsi="Helvetica" w:cs="Helvetica"/>
                                  <w:sz w:val="18"/>
                                  <w:szCs w:val="18"/>
                                </w:rPr>
                                <w:t xml:space="preserve"> the forms of glycolipids to be assessed in other foods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Text Box 2"/>
                        <wps:cNvSpPr txBox="1">
                          <a:spLocks noChangeArrowheads="1"/>
                        </wps:cNvSpPr>
                        <wps:spPr bwMode="auto">
                          <a:xfrm>
                            <a:off x="4000500" y="2152325"/>
                            <a:ext cx="391159" cy="261619"/>
                          </a:xfrm>
                          <a:prstGeom prst="rect">
                            <a:avLst/>
                          </a:prstGeom>
                          <a:noFill/>
                          <a:ln w="9525">
                            <a:noFill/>
                            <a:miter lim="800000"/>
                            <a:headEnd/>
                            <a:tailEnd/>
                          </a:ln>
                        </wps:spPr>
                        <wps:txbx>
                          <w:txbxContent>
                            <w:p w14:paraId="72F87869" w14:textId="77777777" w:rsidR="00E202C8" w:rsidRPr="00073626" w:rsidRDefault="00E202C8" w:rsidP="00DE4D69">
                              <w:pPr>
                                <w:rPr>
                                  <w:b/>
                                </w:rPr>
                              </w:pPr>
                              <w:r>
                                <w:rPr>
                                  <w:b/>
                                </w:rPr>
                                <w:t>No</w:t>
                              </w:r>
                            </w:p>
                          </w:txbxContent>
                        </wps:txbx>
                        <wps:bodyPr rot="0" vert="horz" wrap="square" lIns="91440" tIns="45720" rIns="91440" bIns="45720" anchor="t" anchorCtr="0">
                          <a:spAutoFit/>
                        </wps:bodyPr>
                      </wps:wsp>
                      <wps:wsp>
                        <wps:cNvPr id="93" name="Straight Arrow Connector 93"/>
                        <wps:cNvCnPr/>
                        <wps:spPr>
                          <a:xfrm>
                            <a:off x="3838575" y="1114425"/>
                            <a:ext cx="572135" cy="0"/>
                          </a:xfrm>
                          <a:prstGeom prst="straightConnector1">
                            <a:avLst/>
                          </a:prstGeom>
                          <a:noFill/>
                          <a:ln w="38100" cap="flat" cmpd="sng" algn="ctr">
                            <a:solidFill>
                              <a:srgbClr val="B7DEE8"/>
                            </a:solidFill>
                            <a:prstDash val="solid"/>
                            <a:tailEnd type="triangle"/>
                          </a:ln>
                          <a:effectLst/>
                        </wps:spPr>
                        <wps:bodyPr/>
                      </wps:wsp>
                      <wps:wsp>
                        <wps:cNvPr id="94" name="Rounded Rectangle 94"/>
                        <wps:cNvSpPr/>
                        <wps:spPr>
                          <a:xfrm>
                            <a:off x="0" y="-95250"/>
                            <a:ext cx="4118279" cy="1892300"/>
                          </a:xfrm>
                          <a:prstGeom prst="roundRect">
                            <a:avLst/>
                          </a:prstGeom>
                          <a:solidFill>
                            <a:schemeClr val="accent5">
                              <a:lumMod val="20000"/>
                              <a:lumOff val="80000"/>
                            </a:schemeClr>
                          </a:solidFill>
                          <a:ln w="25400" cap="flat" cmpd="sng" algn="ctr">
                            <a:solidFill>
                              <a:srgbClr val="4BACC6">
                                <a:lumMod val="40000"/>
                                <a:lumOff val="60000"/>
                              </a:srgbClr>
                            </a:solidFill>
                            <a:prstDash val="solid"/>
                          </a:ln>
                          <a:effectLst/>
                        </wps:spPr>
                        <wps:txbx>
                          <w:txbxContent>
                            <w:p w14:paraId="413055D8" w14:textId="2E2F0BFF" w:rsidR="00E202C8" w:rsidRDefault="00E202C8" w:rsidP="00DE4D69">
                              <w:pPr>
                                <w:jc w:val="center"/>
                                <w:rPr>
                                  <w:rFonts w:ascii="Helvetica" w:hAnsi="Helvetica" w:cs="Helvetica"/>
                                  <w:b/>
                                  <w:lang w:val="en"/>
                                </w:rPr>
                              </w:pPr>
                              <w:r w:rsidRPr="009B5BC8">
                                <w:rPr>
                                  <w:rFonts w:ascii="Helvetica" w:hAnsi="Helvetica" w:cs="Helvetica"/>
                                  <w:b/>
                                  <w:lang w:val="en"/>
                                </w:rPr>
                                <w:t xml:space="preserve">Are the following </w:t>
                              </w:r>
                              <w:r>
                                <w:rPr>
                                  <w:rFonts w:ascii="Helvetica" w:hAnsi="Helvetica" w:cs="Helvetica"/>
                                  <w:b/>
                                  <w:lang w:val="en"/>
                                </w:rPr>
                                <w:t xml:space="preserve">3 </w:t>
                              </w:r>
                              <w:r w:rsidRPr="009B5BC8">
                                <w:rPr>
                                  <w:rFonts w:ascii="Helvetica" w:hAnsi="Helvetica" w:cs="Helvetica"/>
                                  <w:b/>
                                  <w:lang w:val="en"/>
                                </w:rPr>
                                <w:t>structures of na</w:t>
                              </w:r>
                              <w:r>
                                <w:rPr>
                                  <w:rFonts w:ascii="Helvetica" w:hAnsi="Helvetica" w:cs="Helvetica"/>
                                  <w:b/>
                                  <w:lang w:val="en"/>
                                </w:rPr>
                                <w:t xml:space="preserve">tural glycolipids (present in </w:t>
                              </w:r>
                              <w:r w:rsidRPr="005F7B7D">
                                <w:rPr>
                                  <w:rFonts w:ascii="Helvetica" w:hAnsi="Helvetica" w:cs="Helvetica"/>
                                  <w:b/>
                                  <w:lang w:val="en"/>
                                </w:rPr>
                                <w:t>Jelly mushroom glycolipids</w:t>
                              </w:r>
                              <w:r>
                                <w:rPr>
                                  <w:rFonts w:ascii="Helvetica" w:hAnsi="Helvetica" w:cs="Helvetica"/>
                                  <w:b/>
                                  <w:lang w:val="en"/>
                                </w:rPr>
                                <w:t>) the only glycolipids to be included in the risk assessment for this application</w:t>
                              </w:r>
                              <w:r w:rsidRPr="009B5BC8">
                                <w:rPr>
                                  <w:rFonts w:ascii="Helvetica" w:hAnsi="Helvetica" w:cs="Helvetica"/>
                                  <w:b/>
                                  <w:lang w:val="en"/>
                                </w:rPr>
                                <w:t>?</w:t>
                              </w:r>
                            </w:p>
                            <w:p w14:paraId="765A297D" w14:textId="77777777" w:rsidR="00E202C8" w:rsidRDefault="00E202C8" w:rsidP="00DE4D69">
                              <w:pPr>
                                <w:jc w:val="center"/>
                                <w:rPr>
                                  <w:rFonts w:ascii="Helvetica" w:hAnsi="Helvetica" w:cs="Helvetica"/>
                                  <w:b/>
                                  <w:lang w:val="en"/>
                                </w:rPr>
                              </w:pPr>
                            </w:p>
                            <w:p w14:paraId="4052ECA9" w14:textId="7E915FB0" w:rsidR="00E202C8" w:rsidRPr="00124444" w:rsidRDefault="00E202C8" w:rsidP="00DE4D69">
                              <w:pPr>
                                <w:jc w:val="center"/>
                                <w:rPr>
                                  <w:rFonts w:ascii="Helvetica" w:hAnsi="Helvetica" w:cs="Helvetica"/>
                                  <w:b/>
                                  <w:lang w:val="en"/>
                                </w:rPr>
                              </w:pPr>
                              <w:r w:rsidRPr="009B5BC8">
                                <w:rPr>
                                  <w:rFonts w:ascii="Helvetica" w:hAnsi="Helvetica" w:cs="Helvetica"/>
                                  <w:noProof/>
                                  <w:lang w:eastAsia="en-GB" w:bidi="ar-SA"/>
                                </w:rPr>
                                <w:drawing>
                                  <wp:inline distT="0" distB="0" distL="0" distR="0" wp14:anchorId="3F9C176F" wp14:editId="623BDDC1">
                                    <wp:extent cx="1079589" cy="524179"/>
                                    <wp:effectExtent l="0" t="0" r="635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7835" r="48683" b="48911"/>
                                            <a:stretch/>
                                          </pic:blipFill>
                                          <pic:spPr bwMode="auto">
                                            <a:xfrm>
                                              <a:off x="0" y="0"/>
                                              <a:ext cx="1125217" cy="546333"/>
                                            </a:xfrm>
                                            <a:prstGeom prst="rect">
                                              <a:avLst/>
                                            </a:prstGeom>
                                            <a:ln>
                                              <a:noFill/>
                                            </a:ln>
                                            <a:extLst>
                                              <a:ext uri="{53640926-AAD7-44D8-BBD7-CCE9431645EC}">
                                                <a14:shadowObscured xmlns:a14="http://schemas.microsoft.com/office/drawing/2010/main"/>
                                              </a:ext>
                                            </a:extLst>
                                          </pic:spPr>
                                        </pic:pic>
                                      </a:graphicData>
                                    </a:graphic>
                                  </wp:inline>
                                </w:drawing>
                              </w:r>
                              <w:r w:rsidRPr="009B5BC8">
                                <w:rPr>
                                  <w:rFonts w:ascii="Helvetica" w:hAnsi="Helvetica" w:cs="Helvetica"/>
                                  <w:noProof/>
                                  <w:lang w:eastAsia="en-GB" w:bidi="ar-SA"/>
                                </w:rPr>
                                <w:drawing>
                                  <wp:inline distT="0" distB="0" distL="0" distR="0" wp14:anchorId="2DB72C8D" wp14:editId="6734E53A">
                                    <wp:extent cx="998996" cy="508442"/>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50087" r="41269"/>
                                            <a:stretch/>
                                          </pic:blipFill>
                                          <pic:spPr bwMode="auto">
                                            <a:xfrm>
                                              <a:off x="0" y="0"/>
                                              <a:ext cx="1055679" cy="537291"/>
                                            </a:xfrm>
                                            <a:prstGeom prst="rect">
                                              <a:avLst/>
                                            </a:prstGeom>
                                            <a:ln>
                                              <a:noFill/>
                                            </a:ln>
                                            <a:extLst>
                                              <a:ext uri="{53640926-AAD7-44D8-BBD7-CCE9431645EC}">
                                                <a14:shadowObscured xmlns:a14="http://schemas.microsoft.com/office/drawing/2010/main"/>
                                              </a:ext>
                                            </a:extLst>
                                          </pic:spPr>
                                        </pic:pic>
                                      </a:graphicData>
                                    </a:graphic>
                                  </wp:inline>
                                </w:drawing>
                              </w:r>
                              <w:r w:rsidRPr="009B5BC8">
                                <w:rPr>
                                  <w:rFonts w:ascii="Helvetica" w:hAnsi="Helvetica" w:cs="Helvetica"/>
                                  <w:noProof/>
                                  <w:lang w:eastAsia="en-GB" w:bidi="ar-SA"/>
                                </w:rPr>
                                <w:drawing>
                                  <wp:inline distT="0" distB="0" distL="0" distR="0" wp14:anchorId="734AD143" wp14:editId="184AE676">
                                    <wp:extent cx="908376" cy="503252"/>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50235" t="6344" b="48910"/>
                                            <a:stretch/>
                                          </pic:blipFill>
                                          <pic:spPr bwMode="auto">
                                            <a:xfrm>
                                              <a:off x="0" y="0"/>
                                              <a:ext cx="931360" cy="51598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ounded Rectangle 95"/>
                        <wps:cNvSpPr/>
                        <wps:spPr>
                          <a:xfrm>
                            <a:off x="0" y="3086100"/>
                            <a:ext cx="4023084" cy="801370"/>
                          </a:xfrm>
                          <a:prstGeom prst="roundRect">
                            <a:avLst/>
                          </a:prstGeom>
                          <a:solidFill>
                            <a:schemeClr val="accent5">
                              <a:lumMod val="20000"/>
                              <a:lumOff val="80000"/>
                            </a:schemeClr>
                          </a:solidFill>
                          <a:ln w="25400" cap="flat" cmpd="sng" algn="ctr">
                            <a:solidFill>
                              <a:srgbClr val="4BACC6">
                                <a:lumMod val="40000"/>
                                <a:lumOff val="60000"/>
                              </a:srgbClr>
                            </a:solidFill>
                            <a:prstDash val="solid"/>
                          </a:ln>
                          <a:effectLst/>
                        </wps:spPr>
                        <wps:txbx>
                          <w:txbxContent>
                            <w:p w14:paraId="0C77FEBC" w14:textId="2E4B40D7" w:rsidR="00E202C8" w:rsidRPr="00764705" w:rsidRDefault="00E202C8" w:rsidP="00DE4D69">
                              <w:pPr>
                                <w:jc w:val="center"/>
                                <w:rPr>
                                  <w:rFonts w:ascii="Helvetica" w:hAnsi="Helvetica" w:cs="Helvetica"/>
                                  <w:b/>
                                  <w:lang w:val="en"/>
                                </w:rPr>
                              </w:pPr>
                              <w:r>
                                <w:rPr>
                                  <w:rFonts w:ascii="Helvetica" w:hAnsi="Helvetica" w:cs="Helvetica"/>
                                  <w:b/>
                                  <w:lang w:val="en"/>
                                </w:rPr>
                                <w:t>Are</w:t>
                              </w:r>
                              <w:r w:rsidRPr="00764705">
                                <w:rPr>
                                  <w:rFonts w:ascii="Helvetica" w:hAnsi="Helvetica" w:cs="Helvetica"/>
                                  <w:b/>
                                  <w:lang w:val="en"/>
                                </w:rPr>
                                <w:t xml:space="preserve"> </w:t>
                              </w:r>
                              <w:r>
                                <w:rPr>
                                  <w:rFonts w:ascii="Helvetica" w:hAnsi="Helvetica" w:cs="Helvetica"/>
                                  <w:b/>
                                  <w:lang w:val="en"/>
                                </w:rPr>
                                <w:t xml:space="preserve">all </w:t>
                              </w:r>
                              <w:r w:rsidRPr="00764705">
                                <w:rPr>
                                  <w:rFonts w:ascii="Helvetica" w:hAnsi="Helvetica" w:cs="Helvetica"/>
                                  <w:b/>
                                  <w:lang w:val="en"/>
                                </w:rPr>
                                <w:t xml:space="preserve">naturally occurring sources of the 3 natural glycolipids </w:t>
                              </w:r>
                              <w:r>
                                <w:rPr>
                                  <w:rFonts w:ascii="Helvetica" w:hAnsi="Helvetica" w:cs="Helvetica"/>
                                  <w:b/>
                                  <w:lang w:val="en"/>
                                </w:rPr>
                                <w:t xml:space="preserve">to be included </w:t>
                              </w:r>
                              <w:r w:rsidRPr="00764705">
                                <w:rPr>
                                  <w:rFonts w:ascii="Helvetica" w:hAnsi="Helvetica" w:cs="Helvetica"/>
                                  <w:b/>
                                  <w:lang w:val="en"/>
                                </w:rPr>
                                <w:t>in the Dietary Exposure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ounded Rectangle 96"/>
                        <wps:cNvSpPr/>
                        <wps:spPr>
                          <a:xfrm>
                            <a:off x="0" y="2097718"/>
                            <a:ext cx="4047187" cy="616494"/>
                          </a:xfrm>
                          <a:prstGeom prst="roundRect">
                            <a:avLst/>
                          </a:prstGeom>
                          <a:solidFill>
                            <a:schemeClr val="accent5">
                              <a:lumMod val="20000"/>
                              <a:lumOff val="80000"/>
                            </a:schemeClr>
                          </a:solidFill>
                          <a:ln w="25400" cap="flat" cmpd="sng" algn="ctr">
                            <a:solidFill>
                              <a:srgbClr val="4BACC6">
                                <a:lumMod val="40000"/>
                                <a:lumOff val="60000"/>
                              </a:srgbClr>
                            </a:solidFill>
                            <a:prstDash val="solid"/>
                          </a:ln>
                          <a:effectLst/>
                        </wps:spPr>
                        <wps:txbx>
                          <w:txbxContent>
                            <w:p w14:paraId="727418CF" w14:textId="7CF2306F" w:rsidR="00E202C8" w:rsidRPr="00764705" w:rsidRDefault="00E202C8" w:rsidP="00DE4D69">
                              <w:pPr>
                                <w:jc w:val="center"/>
                                <w:rPr>
                                  <w:rFonts w:ascii="Helvetica" w:hAnsi="Helvetica" w:cs="Helvetica"/>
                                  <w:b/>
                                  <w:lang w:val="en"/>
                                </w:rPr>
                              </w:pPr>
                              <w:r w:rsidRPr="00764705">
                                <w:rPr>
                                  <w:rFonts w:ascii="Helvetica" w:hAnsi="Helvetica" w:cs="Helvetica"/>
                                  <w:b/>
                                  <w:lang w:val="en"/>
                                </w:rPr>
                                <w:t xml:space="preserve">Are the 3 natural glycolipids present in </w:t>
                              </w:r>
                              <w:r>
                                <w:rPr>
                                  <w:rFonts w:ascii="Helvetica" w:hAnsi="Helvetica" w:cs="Helvetica"/>
                                  <w:b/>
                                  <w:lang w:val="en"/>
                                </w:rPr>
                                <w:t xml:space="preserve">the </w:t>
                              </w:r>
                              <w:r w:rsidRPr="005F7B7D">
                                <w:rPr>
                                  <w:rFonts w:ascii="Helvetica" w:hAnsi="Helvetica" w:cs="Helvetica"/>
                                  <w:b/>
                                  <w:lang w:val="en"/>
                                </w:rPr>
                                <w:t>Jelly mushroom glycolipid</w:t>
                              </w:r>
                              <w:r>
                                <w:rPr>
                                  <w:rFonts w:ascii="Helvetica" w:hAnsi="Helvetica" w:cs="Helvetica"/>
                                  <w:b/>
                                  <w:lang w:val="en"/>
                                </w:rPr>
                                <w:t xml:space="preserve"> preparation</w:t>
                              </w:r>
                              <w:r w:rsidRPr="00764705">
                                <w:rPr>
                                  <w:rFonts w:ascii="Helvetica" w:hAnsi="Helvetica" w:cs="Helvetica"/>
                                  <w:b/>
                                  <w:lang w:val="en"/>
                                </w:rPr>
                                <w:t xml:space="preserve"> found in any other foods?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6011B2D" id="Group 84" o:spid="_x0000_s1061" style="position:absolute;margin-left:.35pt;margin-top:-1.15pt;width:450.9pt;height:338.6pt;z-index:251658254;mso-position-horizontal-relative:text;mso-position-vertical-relative:text;mso-height-relative:margin" coordorigin=",-952" coordsize="57264,4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">
                <v:roundrect id="Rounded Rectangle 85" o:spid="_x0000_s1062" style="position:absolute;left:44196;top:22383;width:12985;height:18841;visibility:visible;mso-wrap-style:square;v-text-anchor:middle" arcsize="925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" fillcolor="#daeef3 [664]" strokecolor="#31849b [2408]" strokeweight="6pt">
                  <v:textbox>
                    <w:txbxContent>
                      <w:p w14:paraId="12EE43CC" w14:textId="77777777" w:rsidR="00E202C8" w:rsidRPr="00055E24" w:rsidRDefault="00E202C8" w:rsidP="00DE4D69">
                        <w:pPr>
                          <w:jc w:val="center"/>
                          <w:rPr>
                            <w:color w:val="FFFFFF" w:themeColor="background1"/>
                          </w:rPr>
                        </w:pPr>
                        <w:r w:rsidRPr="00764705">
                          <w:rPr>
                            <w:rFonts w:ascii="Helvetica" w:hAnsi="Helvetica" w:cs="Helvetica"/>
                            <w:b/>
                            <w:lang w:val="en"/>
                          </w:rPr>
                          <w:t>Dietary Exposure Assessment on only additive sources.</w:t>
                        </w:r>
                        <w:r w:rsidRPr="00055E24">
                          <w:rPr>
                            <w:rFonts w:ascii="Helvetica" w:hAnsi="Helvetica" w:cs="Helvetica"/>
                            <w:b/>
                            <w:color w:val="FFFFFF" w:themeColor="background1"/>
                            <w:lang w:val="en"/>
                          </w:rPr>
                          <w:t>.</w:t>
                        </w:r>
                      </w:p>
                    </w:txbxContent>
                  </v:textbox>
                </v:roundrect>
                <v:shape id="_x0000_s1063" type="#_x0000_t202" style="position:absolute;left:17811;top:39433;width:1512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" filled="f" stroked="f">
                  <v:textbox style="mso-fit-shape-to-text:t">
                    <w:txbxContent>
                      <w:p w14:paraId="59ABB709" w14:textId="77777777" w:rsidR="00E202C8" w:rsidRPr="00073626" w:rsidRDefault="00E202C8" w:rsidP="00DE4D69">
                        <w:pPr>
                          <w:rPr>
                            <w:b/>
                          </w:rPr>
                        </w:pPr>
                        <w:r>
                          <w:rPr>
                            <w:b/>
                          </w:rPr>
                          <w:t>Yes</w:t>
                        </w:r>
                      </w:p>
                    </w:txbxContent>
                  </v:textbox>
                </v:shape>
                <v:shape id="Straight Arrow Connector 87" o:spid="_x0000_s1064" type="#_x0000_t32" style="position:absolute;left:17240;top:38862;width:0;height:25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" strokecolor="#b7dee8" strokeweight="3pt">
                  <v:stroke endarrow="block"/>
                </v:shape>
                <v:shape id="Straight Arrow Connector 88" o:spid="_x0000_s1065" type="#_x0000_t32" style="position:absolute;left:17907;top:27622;width:0;height:25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" strokecolor="#b7dee8" strokeweight="3pt">
                  <v:stroke endarrow="block"/>
                </v:shape>
                <v:shape id="Straight Arrow Connector 89" o:spid="_x0000_s1066" type="#_x0000_t32" style="position:absolute;left:17811;top:18383;width:0;height:25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" strokecolor="#b7dee8" strokeweight="3pt">
                  <v:stroke endarrow="block"/>
                </v:shape>
                <v:shape id="_x0000_s1067" type="#_x0000_t202" style="position:absolute;left:39719;top:31713;width:5010;height:261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" filled="f" stroked="f">
                  <v:textbox style="mso-fit-shape-to-text:t">
                    <w:txbxContent>
                      <w:p w14:paraId="2B99AA83" w14:textId="77777777" w:rsidR="00E202C8" w:rsidRPr="00073626" w:rsidRDefault="00E202C8" w:rsidP="00DE4D69">
                        <w:pPr>
                          <w:rPr>
                            <w:b/>
                          </w:rPr>
                        </w:pPr>
                        <w:r>
                          <w:rPr>
                            <w:b/>
                          </w:rPr>
                          <w:t>No</w:t>
                        </w:r>
                      </w:p>
                    </w:txbxContent>
                  </v:textbox>
                </v:shape>
                <v:roundrect id="Rounded Rectangle 91" o:spid="_x0000_s1068" style="position:absolute;left:44386;top:190;width:12878;height:203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" fillcolor="#daeef3 [664]" strokecolor="#b7dee8" strokeweight="2pt">
                  <v:textbox>
                    <w:txbxContent>
                      <w:p w14:paraId="412F400D" w14:textId="77777777" w:rsidR="00E202C8" w:rsidRPr="00764705" w:rsidRDefault="00E202C8" w:rsidP="00DE4D69">
                        <w:pPr>
                          <w:jc w:val="center"/>
                          <w:rPr>
                            <w:rFonts w:ascii="Helvetica" w:hAnsi="Helvetica" w:cs="Helvetica"/>
                            <w:b/>
                          </w:rPr>
                        </w:pPr>
                        <w:r>
                          <w:rPr>
                            <w:rFonts w:ascii="Helvetica" w:hAnsi="Helvetica" w:cs="Helvetica"/>
                            <w:b/>
                          </w:rPr>
                          <w:t>Data needed on</w:t>
                        </w:r>
                        <w:r w:rsidRPr="00764705">
                          <w:rPr>
                            <w:rFonts w:ascii="Helvetica" w:hAnsi="Helvetica" w:cs="Helvetica"/>
                            <w:b/>
                          </w:rPr>
                          <w:t>:</w:t>
                        </w:r>
                      </w:p>
                      <w:p w14:paraId="4CB9121B" w14:textId="7ED1BAC0" w:rsidR="00E202C8" w:rsidRPr="00764705" w:rsidRDefault="00E202C8" w:rsidP="00DE4D69">
                        <w:pPr>
                          <w:jc w:val="center"/>
                          <w:rPr>
                            <w:rFonts w:ascii="Helvetica" w:hAnsi="Helvetica" w:cs="Helvetica"/>
                            <w:b/>
                            <w:sz w:val="18"/>
                            <w:szCs w:val="18"/>
                            <w:lang w:val="en"/>
                          </w:rPr>
                        </w:pPr>
                        <w:r>
                          <w:rPr>
                            <w:rFonts w:ascii="Helvetica" w:hAnsi="Helvetica" w:cs="Helvetica"/>
                            <w:sz w:val="18"/>
                            <w:szCs w:val="18"/>
                          </w:rPr>
                          <w:t>C</w:t>
                        </w:r>
                        <w:r w:rsidRPr="00764705">
                          <w:rPr>
                            <w:rFonts w:ascii="Helvetica" w:hAnsi="Helvetica" w:cs="Helvetica"/>
                            <w:sz w:val="18"/>
                            <w:szCs w:val="18"/>
                          </w:rPr>
                          <w:t>oncentrations of all</w:t>
                        </w:r>
                        <w:r>
                          <w:rPr>
                            <w:rFonts w:ascii="Helvetica" w:hAnsi="Helvetica" w:cs="Helvetica"/>
                            <w:sz w:val="18"/>
                            <w:szCs w:val="18"/>
                          </w:rPr>
                          <w:t xml:space="preserve"> of</w:t>
                        </w:r>
                        <w:r w:rsidRPr="00764705">
                          <w:rPr>
                            <w:rFonts w:ascii="Helvetica" w:hAnsi="Helvetica" w:cs="Helvetica"/>
                            <w:sz w:val="18"/>
                            <w:szCs w:val="18"/>
                          </w:rPr>
                          <w:t xml:space="preserve"> the forms of glycolipids to be assessed in other foods</w:t>
                        </w:r>
                      </w:p>
                    </w:txbxContent>
                  </v:textbox>
                </v:roundrect>
                <v:shape id="_x0000_s1069" type="#_x0000_t202" style="position:absolute;left:40005;top:21523;width:3911;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" filled="f" stroked="f">
                  <v:textbox style="mso-fit-shape-to-text:t">
                    <w:txbxContent>
                      <w:p w14:paraId="72F87869" w14:textId="77777777" w:rsidR="00E202C8" w:rsidRPr="00073626" w:rsidRDefault="00E202C8" w:rsidP="00DE4D69">
                        <w:pPr>
                          <w:rPr>
                            <w:b/>
                          </w:rPr>
                        </w:pPr>
                        <w:r>
                          <w:rPr>
                            <w:b/>
                          </w:rPr>
                          <w:t>No</w:t>
                        </w:r>
                      </w:p>
                    </w:txbxContent>
                  </v:textbox>
                </v:shape>
                <v:shape id="Straight Arrow Connector 93" o:spid="_x0000_s1070" type="#_x0000_t32" style="position:absolute;left:38385;top:11144;width:57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" strokecolor="#b7dee8" strokeweight="3pt">
                  <v:stroke endarrow="block"/>
                </v:shape>
                <v:roundrect id="Rounded Rectangle 94" o:spid="_x0000_s1071" style="position:absolute;top:-952;width:41182;height:189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" fillcolor="#daeef3 [664]" strokecolor="#b7dee8" strokeweight="2pt">
                  <v:textbox>
                    <w:txbxContent>
                      <w:p w14:paraId="413055D8" w14:textId="2E2F0BFF" w:rsidR="00E202C8" w:rsidRDefault="00E202C8" w:rsidP="00DE4D69">
                        <w:pPr>
                          <w:jc w:val="center"/>
                          <w:rPr>
                            <w:rFonts w:ascii="Helvetica" w:hAnsi="Helvetica" w:cs="Helvetica"/>
                            <w:b/>
                            <w:lang w:val="en"/>
                          </w:rPr>
                        </w:pPr>
                        <w:r w:rsidRPr="009B5BC8">
                          <w:rPr>
                            <w:rFonts w:ascii="Helvetica" w:hAnsi="Helvetica" w:cs="Helvetica"/>
                            <w:b/>
                            <w:lang w:val="en"/>
                          </w:rPr>
                          <w:t xml:space="preserve">Are the following </w:t>
                        </w:r>
                        <w:r>
                          <w:rPr>
                            <w:rFonts w:ascii="Helvetica" w:hAnsi="Helvetica" w:cs="Helvetica"/>
                            <w:b/>
                            <w:lang w:val="en"/>
                          </w:rPr>
                          <w:t xml:space="preserve">3 </w:t>
                        </w:r>
                        <w:r w:rsidRPr="009B5BC8">
                          <w:rPr>
                            <w:rFonts w:ascii="Helvetica" w:hAnsi="Helvetica" w:cs="Helvetica"/>
                            <w:b/>
                            <w:lang w:val="en"/>
                          </w:rPr>
                          <w:t>structures of na</w:t>
                        </w:r>
                        <w:r>
                          <w:rPr>
                            <w:rFonts w:ascii="Helvetica" w:hAnsi="Helvetica" w:cs="Helvetica"/>
                            <w:b/>
                            <w:lang w:val="en"/>
                          </w:rPr>
                          <w:t xml:space="preserve">tural glycolipids (present in </w:t>
                        </w:r>
                        <w:r w:rsidRPr="005F7B7D">
                          <w:rPr>
                            <w:rFonts w:ascii="Helvetica" w:hAnsi="Helvetica" w:cs="Helvetica"/>
                            <w:b/>
                            <w:lang w:val="en"/>
                          </w:rPr>
                          <w:t>Jelly mushroom glycolipids</w:t>
                        </w:r>
                        <w:r>
                          <w:rPr>
                            <w:rFonts w:ascii="Helvetica" w:hAnsi="Helvetica" w:cs="Helvetica"/>
                            <w:b/>
                            <w:lang w:val="en"/>
                          </w:rPr>
                          <w:t>) the only glycolipids to be included in the risk assessment for this application</w:t>
                        </w:r>
                        <w:r w:rsidRPr="009B5BC8">
                          <w:rPr>
                            <w:rFonts w:ascii="Helvetica" w:hAnsi="Helvetica" w:cs="Helvetica"/>
                            <w:b/>
                            <w:lang w:val="en"/>
                          </w:rPr>
                          <w:t>?</w:t>
                        </w:r>
                      </w:p>
                      <w:p w14:paraId="765A297D" w14:textId="77777777" w:rsidR="00E202C8" w:rsidRDefault="00E202C8" w:rsidP="00DE4D69">
                        <w:pPr>
                          <w:jc w:val="center"/>
                          <w:rPr>
                            <w:rFonts w:ascii="Helvetica" w:hAnsi="Helvetica" w:cs="Helvetica"/>
                            <w:b/>
                            <w:lang w:val="en"/>
                          </w:rPr>
                        </w:pPr>
                      </w:p>
                      <w:p w14:paraId="4052ECA9" w14:textId="7E915FB0" w:rsidR="00E202C8" w:rsidRPr="00124444" w:rsidRDefault="00E202C8" w:rsidP="00DE4D69">
                        <w:pPr>
                          <w:jc w:val="center"/>
                          <w:rPr>
                            <w:rFonts w:ascii="Helvetica" w:hAnsi="Helvetica" w:cs="Helvetica"/>
                            <w:b/>
                            <w:lang w:val="en"/>
                          </w:rPr>
                        </w:pPr>
                        <w:r w:rsidRPr="009B5BC8">
                          <w:rPr>
                            <w:rFonts w:ascii="Helvetica" w:hAnsi="Helvetica" w:cs="Helvetica"/>
                            <w:noProof/>
                            <w:lang w:eastAsia="en-GB" w:bidi="ar-SA"/>
                          </w:rPr>
                          <w:drawing>
                            <wp:inline distT="0" distB="0" distL="0" distR="0" wp14:anchorId="3F9C176F" wp14:editId="623BDDC1">
                              <wp:extent cx="1079589" cy="524179"/>
                              <wp:effectExtent l="0" t="0" r="635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7835" r="48683" b="48911"/>
                                      <a:stretch/>
                                    </pic:blipFill>
                                    <pic:spPr bwMode="auto">
                                      <a:xfrm>
                                        <a:off x="0" y="0"/>
                                        <a:ext cx="1125217" cy="546333"/>
                                      </a:xfrm>
                                      <a:prstGeom prst="rect">
                                        <a:avLst/>
                                      </a:prstGeom>
                                      <a:ln>
                                        <a:noFill/>
                                      </a:ln>
                                      <a:extLst>
                                        <a:ext uri="{53640926-AAD7-44D8-BBD7-CCE9431645EC}">
                                          <a14:shadowObscured xmlns:a14="http://schemas.microsoft.com/office/drawing/2010/main"/>
                                        </a:ext>
                                      </a:extLst>
                                    </pic:spPr>
                                  </pic:pic>
                                </a:graphicData>
                              </a:graphic>
                            </wp:inline>
                          </w:drawing>
                        </w:r>
                        <w:r w:rsidRPr="009B5BC8">
                          <w:rPr>
                            <w:rFonts w:ascii="Helvetica" w:hAnsi="Helvetica" w:cs="Helvetica"/>
                            <w:noProof/>
                            <w:lang w:eastAsia="en-GB" w:bidi="ar-SA"/>
                          </w:rPr>
                          <w:drawing>
                            <wp:inline distT="0" distB="0" distL="0" distR="0" wp14:anchorId="2DB72C8D" wp14:editId="6734E53A">
                              <wp:extent cx="998996" cy="508442"/>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50087" r="41269"/>
                                      <a:stretch/>
                                    </pic:blipFill>
                                    <pic:spPr bwMode="auto">
                                      <a:xfrm>
                                        <a:off x="0" y="0"/>
                                        <a:ext cx="1055679" cy="537291"/>
                                      </a:xfrm>
                                      <a:prstGeom prst="rect">
                                        <a:avLst/>
                                      </a:prstGeom>
                                      <a:ln>
                                        <a:noFill/>
                                      </a:ln>
                                      <a:extLst>
                                        <a:ext uri="{53640926-AAD7-44D8-BBD7-CCE9431645EC}">
                                          <a14:shadowObscured xmlns:a14="http://schemas.microsoft.com/office/drawing/2010/main"/>
                                        </a:ext>
                                      </a:extLst>
                                    </pic:spPr>
                                  </pic:pic>
                                </a:graphicData>
                              </a:graphic>
                            </wp:inline>
                          </w:drawing>
                        </w:r>
                        <w:r w:rsidRPr="009B5BC8">
                          <w:rPr>
                            <w:rFonts w:ascii="Helvetica" w:hAnsi="Helvetica" w:cs="Helvetica"/>
                            <w:noProof/>
                            <w:lang w:eastAsia="en-GB" w:bidi="ar-SA"/>
                          </w:rPr>
                          <w:drawing>
                            <wp:inline distT="0" distB="0" distL="0" distR="0" wp14:anchorId="734AD143" wp14:editId="184AE676">
                              <wp:extent cx="908376" cy="503252"/>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50235" t="6344" b="48910"/>
                                      <a:stretch/>
                                    </pic:blipFill>
                                    <pic:spPr bwMode="auto">
                                      <a:xfrm>
                                        <a:off x="0" y="0"/>
                                        <a:ext cx="931360" cy="515985"/>
                                      </a:xfrm>
                                      <a:prstGeom prst="rect">
                                        <a:avLst/>
                                      </a:prstGeom>
                                      <a:ln>
                                        <a:noFill/>
                                      </a:ln>
                                      <a:extLst>
                                        <a:ext uri="{53640926-AAD7-44D8-BBD7-CCE9431645EC}">
                                          <a14:shadowObscured xmlns:a14="http://schemas.microsoft.com/office/drawing/2010/main"/>
                                        </a:ext>
                                      </a:extLst>
                                    </pic:spPr>
                                  </pic:pic>
                                </a:graphicData>
                              </a:graphic>
                            </wp:inline>
                          </w:drawing>
                        </w:r>
                      </w:p>
                    </w:txbxContent>
                  </v:textbox>
                </v:roundrect>
                <v:roundrect id="Rounded Rectangle 95" o:spid="_x0000_s1072" style="position:absolute;top:30861;width:40230;height:80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" fillcolor="#daeef3 [664]" strokecolor="#b7dee8" strokeweight="2pt">
                  <v:textbox>
                    <w:txbxContent>
                      <w:p w14:paraId="0C77FEBC" w14:textId="2E4B40D7" w:rsidR="00E202C8" w:rsidRPr="00764705" w:rsidRDefault="00E202C8" w:rsidP="00DE4D69">
                        <w:pPr>
                          <w:jc w:val="center"/>
                          <w:rPr>
                            <w:rFonts w:ascii="Helvetica" w:hAnsi="Helvetica" w:cs="Helvetica"/>
                            <w:b/>
                            <w:lang w:val="en"/>
                          </w:rPr>
                        </w:pPr>
                        <w:r>
                          <w:rPr>
                            <w:rFonts w:ascii="Helvetica" w:hAnsi="Helvetica" w:cs="Helvetica"/>
                            <w:b/>
                            <w:lang w:val="en"/>
                          </w:rPr>
                          <w:t>Are</w:t>
                        </w:r>
                        <w:r w:rsidRPr="00764705">
                          <w:rPr>
                            <w:rFonts w:ascii="Helvetica" w:hAnsi="Helvetica" w:cs="Helvetica"/>
                            <w:b/>
                            <w:lang w:val="en"/>
                          </w:rPr>
                          <w:t xml:space="preserve"> </w:t>
                        </w:r>
                        <w:r>
                          <w:rPr>
                            <w:rFonts w:ascii="Helvetica" w:hAnsi="Helvetica" w:cs="Helvetica"/>
                            <w:b/>
                            <w:lang w:val="en"/>
                          </w:rPr>
                          <w:t xml:space="preserve">all </w:t>
                        </w:r>
                        <w:r w:rsidRPr="00764705">
                          <w:rPr>
                            <w:rFonts w:ascii="Helvetica" w:hAnsi="Helvetica" w:cs="Helvetica"/>
                            <w:b/>
                            <w:lang w:val="en"/>
                          </w:rPr>
                          <w:t xml:space="preserve">naturally occurring sources of the 3 natural glycolipids </w:t>
                        </w:r>
                        <w:r>
                          <w:rPr>
                            <w:rFonts w:ascii="Helvetica" w:hAnsi="Helvetica" w:cs="Helvetica"/>
                            <w:b/>
                            <w:lang w:val="en"/>
                          </w:rPr>
                          <w:t xml:space="preserve">to be included </w:t>
                        </w:r>
                        <w:r w:rsidRPr="00764705">
                          <w:rPr>
                            <w:rFonts w:ascii="Helvetica" w:hAnsi="Helvetica" w:cs="Helvetica"/>
                            <w:b/>
                            <w:lang w:val="en"/>
                          </w:rPr>
                          <w:t>in the Dietary Exposure Assessment?</w:t>
                        </w:r>
                      </w:p>
                    </w:txbxContent>
                  </v:textbox>
                </v:roundrect>
                <v:roundrect id="Rounded Rectangle 96" o:spid="_x0000_s1073" style="position:absolute;top:20977;width:40471;height:61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" fillcolor="#daeef3 [664]" strokecolor="#b7dee8" strokeweight="2pt">
                  <v:textbox>
                    <w:txbxContent>
                      <w:p w14:paraId="727418CF" w14:textId="7CF2306F" w:rsidR="00E202C8" w:rsidRPr="00764705" w:rsidRDefault="00E202C8" w:rsidP="00DE4D69">
                        <w:pPr>
                          <w:jc w:val="center"/>
                          <w:rPr>
                            <w:rFonts w:ascii="Helvetica" w:hAnsi="Helvetica" w:cs="Helvetica"/>
                            <w:b/>
                            <w:lang w:val="en"/>
                          </w:rPr>
                        </w:pPr>
                        <w:r w:rsidRPr="00764705">
                          <w:rPr>
                            <w:rFonts w:ascii="Helvetica" w:hAnsi="Helvetica" w:cs="Helvetica"/>
                            <w:b/>
                            <w:lang w:val="en"/>
                          </w:rPr>
                          <w:t xml:space="preserve">Are the 3 natural glycolipids present in </w:t>
                        </w:r>
                        <w:r>
                          <w:rPr>
                            <w:rFonts w:ascii="Helvetica" w:hAnsi="Helvetica" w:cs="Helvetica"/>
                            <w:b/>
                            <w:lang w:val="en"/>
                          </w:rPr>
                          <w:t xml:space="preserve">the </w:t>
                        </w:r>
                        <w:r w:rsidRPr="005F7B7D">
                          <w:rPr>
                            <w:rFonts w:ascii="Helvetica" w:hAnsi="Helvetica" w:cs="Helvetica"/>
                            <w:b/>
                            <w:lang w:val="en"/>
                          </w:rPr>
                          <w:t>Jelly mushroom glycolipid</w:t>
                        </w:r>
                        <w:r>
                          <w:rPr>
                            <w:rFonts w:ascii="Helvetica" w:hAnsi="Helvetica" w:cs="Helvetica"/>
                            <w:b/>
                            <w:lang w:val="en"/>
                          </w:rPr>
                          <w:t xml:space="preserve"> preparation</w:t>
                        </w:r>
                        <w:r w:rsidRPr="00764705">
                          <w:rPr>
                            <w:rFonts w:ascii="Helvetica" w:hAnsi="Helvetica" w:cs="Helvetica"/>
                            <w:b/>
                            <w:lang w:val="en"/>
                          </w:rPr>
                          <w:t xml:space="preserve"> found in any other foods?</w:t>
                        </w:r>
                      </w:p>
                    </w:txbxContent>
                  </v:textbox>
                </v:roundrect>
              </v:group>
            </w:pict>
          </mc:Fallback>
        </mc:AlternateContent>
      </w:r>
    </w:p>
    <w:p w14:paraId="49B2DF72" w14:textId="52151BDF" w:rsidR="00DE4D69" w:rsidRPr="00055E24" w:rsidRDefault="00DE4D69" w:rsidP="00DE4D69">
      <w:pPr>
        <w:keepNext/>
        <w:keepLines/>
        <w:jc w:val="center"/>
        <w:rPr>
          <w:rFonts w:cstheme="minorBidi"/>
          <w:b/>
          <w:sz w:val="28"/>
          <w:szCs w:val="28"/>
          <w:lang w:val="en"/>
        </w:rPr>
      </w:pPr>
    </w:p>
    <w:p w14:paraId="6E32FFAA" w14:textId="77777777" w:rsidR="00DE4D69" w:rsidRPr="00055E24" w:rsidRDefault="00DE4D69" w:rsidP="00DE4D69">
      <w:pPr>
        <w:keepNext/>
        <w:keepLines/>
        <w:jc w:val="center"/>
        <w:rPr>
          <w:rFonts w:cstheme="minorBidi"/>
          <w:b/>
          <w:lang w:val="en"/>
        </w:rPr>
      </w:pPr>
    </w:p>
    <w:p w14:paraId="35870223" w14:textId="0BC71F88" w:rsidR="00DE4D69" w:rsidRPr="00055E24" w:rsidRDefault="00DE4D69" w:rsidP="00DE4D69">
      <w:pPr>
        <w:keepNext/>
        <w:keepLines/>
        <w:jc w:val="center"/>
        <w:rPr>
          <w:rFonts w:cstheme="minorBidi"/>
          <w:b/>
          <w:lang w:val="en"/>
        </w:rPr>
      </w:pPr>
    </w:p>
    <w:p w14:paraId="1769C96A" w14:textId="26C2C58F" w:rsidR="00DE4D69" w:rsidRPr="00055E24" w:rsidRDefault="00DE4D69" w:rsidP="00DE4D69">
      <w:pPr>
        <w:keepNext/>
        <w:keepLines/>
        <w:rPr>
          <w:rFonts w:cstheme="minorBidi"/>
          <w:lang w:val="en"/>
        </w:rPr>
      </w:pPr>
    </w:p>
    <w:p w14:paraId="5060B309" w14:textId="77777777" w:rsidR="00DE4D69" w:rsidRPr="00055E24" w:rsidRDefault="00DE4D69" w:rsidP="00DE4D69">
      <w:pPr>
        <w:keepNext/>
        <w:keepLines/>
        <w:rPr>
          <w:rFonts w:cstheme="minorBidi"/>
          <w:lang w:val="en"/>
        </w:rPr>
      </w:pPr>
      <w:r w:rsidRPr="00055E24">
        <w:rPr>
          <w:rFonts w:cstheme="minorBidi"/>
          <w:noProof/>
          <w:lang w:eastAsia="en-GB" w:bidi="ar-SA"/>
        </w:rPr>
        <mc:AlternateContent>
          <mc:Choice Requires="wps">
            <w:drawing>
              <wp:anchor distT="45720" distB="45720" distL="114300" distR="114300" simplePos="0" relativeHeight="251658252" behindDoc="0" locked="0" layoutInCell="1" allowOverlap="1" wp14:anchorId="4727C741" wp14:editId="5C13EDC4">
                <wp:simplePos x="0" y="0"/>
                <wp:positionH relativeFrom="page">
                  <wp:posOffset>4975225</wp:posOffset>
                </wp:positionH>
                <wp:positionV relativeFrom="paragraph">
                  <wp:posOffset>11264</wp:posOffset>
                </wp:positionV>
                <wp:extent cx="390525" cy="285750"/>
                <wp:effectExtent l="0" t="0" r="0" b="0"/>
                <wp:wrapSquare wrapText="bothSides"/>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85750"/>
                        </a:xfrm>
                        <a:prstGeom prst="rect">
                          <a:avLst/>
                        </a:prstGeom>
                        <a:noFill/>
                        <a:ln w="9525">
                          <a:noFill/>
                          <a:miter lim="800000"/>
                          <a:headEnd/>
                          <a:tailEnd/>
                        </a:ln>
                      </wps:spPr>
                      <wps:txbx>
                        <w:txbxContent>
                          <w:p w14:paraId="6AE8A4F9" w14:textId="77777777" w:rsidR="00E202C8" w:rsidRPr="00073626" w:rsidRDefault="00E202C8" w:rsidP="00DE4D69">
                            <w:pPr>
                              <w:rPr>
                                <w:b/>
                              </w:rPr>
                            </w:pPr>
                            <w:r>
                              <w:rPr>
                                <w:b/>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7C741" id="Text Box 2" o:spid="_x0000_s1074" type="#_x0000_t202" style="position:absolute;margin-left:391.75pt;margin-top:.9pt;width:30.75pt;height:22.5pt;z-index:2516582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" filled="f" stroked="f">
                <v:textbox>
                  <w:txbxContent>
                    <w:p w14:paraId="6AE8A4F9" w14:textId="77777777" w:rsidR="00E202C8" w:rsidRPr="00073626" w:rsidRDefault="00E202C8" w:rsidP="00DE4D69">
                      <w:pPr>
                        <w:rPr>
                          <w:b/>
                        </w:rPr>
                      </w:pPr>
                      <w:r>
                        <w:rPr>
                          <w:b/>
                        </w:rPr>
                        <w:t>No</w:t>
                      </w:r>
                    </w:p>
                  </w:txbxContent>
                </v:textbox>
                <w10:wrap type="square" anchorx="page"/>
              </v:shape>
            </w:pict>
          </mc:Fallback>
        </mc:AlternateContent>
      </w:r>
      <w:r w:rsidRPr="00055E24">
        <w:rPr>
          <w:rFonts w:cstheme="minorBidi"/>
          <w:noProof/>
          <w:lang w:eastAsia="en-GB" w:bidi="ar-SA"/>
        </w:rPr>
        <mc:AlternateContent>
          <mc:Choice Requires="wps">
            <w:drawing>
              <wp:anchor distT="45720" distB="45720" distL="114300" distR="114300" simplePos="0" relativeHeight="251658250" behindDoc="0" locked="0" layoutInCell="1" allowOverlap="1" wp14:anchorId="03955A4A" wp14:editId="13B57372">
                <wp:simplePos x="0" y="0"/>
                <wp:positionH relativeFrom="margin">
                  <wp:posOffset>6915150</wp:posOffset>
                </wp:positionH>
                <wp:positionV relativeFrom="paragraph">
                  <wp:posOffset>1379855</wp:posOffset>
                </wp:positionV>
                <wp:extent cx="390525" cy="1404620"/>
                <wp:effectExtent l="0" t="0" r="0" b="5715"/>
                <wp:wrapSquare wrapText="bothSides"/>
                <wp:docPr id="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4620"/>
                        </a:xfrm>
                        <a:prstGeom prst="rect">
                          <a:avLst/>
                        </a:prstGeom>
                        <a:noFill/>
                        <a:ln w="9525">
                          <a:noFill/>
                          <a:miter lim="800000"/>
                          <a:headEnd/>
                          <a:tailEnd/>
                        </a:ln>
                      </wps:spPr>
                      <wps:txbx>
                        <w:txbxContent>
                          <w:p w14:paraId="7A0DD452" w14:textId="77777777" w:rsidR="00E202C8" w:rsidRPr="00073626" w:rsidRDefault="00E202C8" w:rsidP="00DE4D69">
                            <w:pPr>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955A4A" id="_x0000_s1075" type="#_x0000_t202" style="position:absolute;margin-left:544.5pt;margin-top:108.65pt;width:30.75pt;height:110.6pt;z-index:25165825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" filled="f" stroked="f">
                <v:textbox style="mso-fit-shape-to-text:t">
                  <w:txbxContent>
                    <w:p w14:paraId="7A0DD452" w14:textId="77777777" w:rsidR="00E202C8" w:rsidRPr="00073626" w:rsidRDefault="00E202C8" w:rsidP="00DE4D69">
                      <w:pPr>
                        <w:rPr>
                          <w:b/>
                        </w:rPr>
                      </w:pPr>
                    </w:p>
                  </w:txbxContent>
                </v:textbox>
                <w10:wrap type="square" anchorx="margin"/>
              </v:shape>
            </w:pict>
          </mc:Fallback>
        </mc:AlternateContent>
      </w:r>
    </w:p>
    <w:p w14:paraId="28C13DB5" w14:textId="73A1186D" w:rsidR="00DE4D69" w:rsidRDefault="00DE4D69" w:rsidP="00DE4D69">
      <w:pPr>
        <w:keepNext/>
        <w:keepLines/>
      </w:pPr>
    </w:p>
    <w:p w14:paraId="18690FA4" w14:textId="77777777" w:rsidR="00DE4D69" w:rsidRDefault="00DE4D69" w:rsidP="00DE4D69">
      <w:pPr>
        <w:keepNext/>
        <w:keepLines/>
      </w:pPr>
    </w:p>
    <w:p w14:paraId="1189B39D" w14:textId="58E7678C" w:rsidR="00DE4D69" w:rsidRDefault="00DE4D69" w:rsidP="00DE4D69">
      <w:pPr>
        <w:keepNext/>
        <w:keepLines/>
      </w:pPr>
    </w:p>
    <w:p w14:paraId="6ABC47E1" w14:textId="043C91B6" w:rsidR="00DE4D69" w:rsidRDefault="00DE4D69" w:rsidP="00DE4D69">
      <w:pPr>
        <w:keepNext/>
        <w:keepLines/>
      </w:pPr>
      <w:r w:rsidRPr="00055E24">
        <w:rPr>
          <w:rFonts w:cstheme="minorBidi"/>
          <w:noProof/>
          <w:lang w:eastAsia="en-GB" w:bidi="ar-SA"/>
        </w:rPr>
        <mc:AlternateContent>
          <mc:Choice Requires="wps">
            <w:drawing>
              <wp:anchor distT="45720" distB="45720" distL="114300" distR="114300" simplePos="0" relativeHeight="251658249" behindDoc="0" locked="0" layoutInCell="1" allowOverlap="1" wp14:anchorId="331A967C" wp14:editId="214B261E">
                <wp:simplePos x="0" y="0"/>
                <wp:positionH relativeFrom="margin">
                  <wp:posOffset>1820545</wp:posOffset>
                </wp:positionH>
                <wp:positionV relativeFrom="paragraph">
                  <wp:posOffset>143841</wp:posOffset>
                </wp:positionV>
                <wp:extent cx="485775" cy="1404620"/>
                <wp:effectExtent l="0" t="0" r="0" b="5715"/>
                <wp:wrapSquare wrapText="bothSides"/>
                <wp:docPr id="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404620"/>
                        </a:xfrm>
                        <a:prstGeom prst="rect">
                          <a:avLst/>
                        </a:prstGeom>
                        <a:noFill/>
                        <a:ln w="9525">
                          <a:noFill/>
                          <a:miter lim="800000"/>
                          <a:headEnd/>
                          <a:tailEnd/>
                        </a:ln>
                      </wps:spPr>
                      <wps:txbx>
                        <w:txbxContent>
                          <w:p w14:paraId="7F975555" w14:textId="77777777" w:rsidR="00E202C8" w:rsidRPr="00073626" w:rsidRDefault="00E202C8" w:rsidP="00DE4D69">
                            <w:pPr>
                              <w:rPr>
                                <w:b/>
                              </w:rPr>
                            </w:pPr>
                            <w:r>
                              <w:rPr>
                                <w:b/>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1A967C" id="_x0000_s1076" type="#_x0000_t202" style="position:absolute;margin-left:143.35pt;margin-top:11.35pt;width:38.25pt;height:110.6pt;z-index:25165824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" filled="f" stroked="f">
                <v:textbox style="mso-fit-shape-to-text:t">
                  <w:txbxContent>
                    <w:p w14:paraId="7F975555" w14:textId="77777777" w:rsidR="00E202C8" w:rsidRPr="00073626" w:rsidRDefault="00E202C8" w:rsidP="00DE4D69">
                      <w:pPr>
                        <w:rPr>
                          <w:b/>
                        </w:rPr>
                      </w:pPr>
                      <w:r>
                        <w:rPr>
                          <w:b/>
                        </w:rPr>
                        <w:t>Yes</w:t>
                      </w:r>
                    </w:p>
                  </w:txbxContent>
                </v:textbox>
                <w10:wrap type="square" anchorx="margin"/>
              </v:shape>
            </w:pict>
          </mc:Fallback>
        </mc:AlternateContent>
      </w:r>
    </w:p>
    <w:p w14:paraId="541E6545" w14:textId="05B42DE4" w:rsidR="00DE4D69" w:rsidRDefault="00DE4D69" w:rsidP="00DE4D69">
      <w:pPr>
        <w:keepNext/>
        <w:keepLines/>
      </w:pPr>
    </w:p>
    <w:p w14:paraId="2D1FDC70" w14:textId="17A2F176" w:rsidR="00DE4D69" w:rsidRDefault="00DE4D69" w:rsidP="00DE4D69">
      <w:pPr>
        <w:keepNext/>
        <w:keepLines/>
      </w:pPr>
    </w:p>
    <w:p w14:paraId="3A587C65" w14:textId="383888EB" w:rsidR="00DE4D69" w:rsidRDefault="00DE4D69" w:rsidP="00DE4D69">
      <w:pPr>
        <w:keepNext/>
        <w:keepLines/>
      </w:pPr>
    </w:p>
    <w:p w14:paraId="30AC9815" w14:textId="50D1C92B" w:rsidR="00DE4D69" w:rsidRDefault="00DE4D69" w:rsidP="00DE4D69">
      <w:pPr>
        <w:keepNext/>
        <w:keepLines/>
      </w:pPr>
    </w:p>
    <w:p w14:paraId="58C0A814" w14:textId="3A47A11B" w:rsidR="00DE4D69" w:rsidRDefault="00DE4D69" w:rsidP="00DE4D69">
      <w:pPr>
        <w:keepNext/>
        <w:keepLines/>
      </w:pPr>
    </w:p>
    <w:p w14:paraId="0FB5FF11" w14:textId="5289CEEC" w:rsidR="00DE4D69" w:rsidRDefault="003F5030" w:rsidP="00DE4D69">
      <w:pPr>
        <w:keepNext/>
        <w:keepLines/>
      </w:pPr>
      <w:r>
        <w:rPr>
          <w:noProof/>
          <w:lang w:eastAsia="en-GB" w:bidi="ar-SA"/>
        </w:rPr>
        <mc:AlternateContent>
          <mc:Choice Requires="wps">
            <w:drawing>
              <wp:anchor distT="0" distB="0" distL="114300" distR="114300" simplePos="0" relativeHeight="251658253" behindDoc="0" locked="0" layoutInCell="1" allowOverlap="1" wp14:anchorId="0BD420E9" wp14:editId="5F1FFFF9">
                <wp:simplePos x="0" y="0"/>
                <wp:positionH relativeFrom="column">
                  <wp:posOffset>4071620</wp:posOffset>
                </wp:positionH>
                <wp:positionV relativeFrom="paragraph">
                  <wp:posOffset>122555</wp:posOffset>
                </wp:positionV>
                <wp:extent cx="324484" cy="0"/>
                <wp:effectExtent l="0" t="95250" r="0" b="95250"/>
                <wp:wrapNone/>
                <wp:docPr id="104" name="Straight Arrow Connector 104"/>
                <wp:cNvGraphicFramePr/>
                <a:graphic xmlns:a="http://schemas.openxmlformats.org/drawingml/2006/main">
                  <a:graphicData uri="http://schemas.microsoft.com/office/word/2010/wordprocessingShape">
                    <wps:wsp>
                      <wps:cNvCnPr/>
                      <wps:spPr>
                        <a:xfrm>
                          <a:off x="0" y="0"/>
                          <a:ext cx="324484" cy="0"/>
                        </a:xfrm>
                        <a:prstGeom prst="straightConnector1">
                          <a:avLst/>
                        </a:prstGeom>
                        <a:ln w="38100">
                          <a:solidFill>
                            <a:srgbClr val="B7DEE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9EFE8A" id="Straight Arrow Connector 104" o:spid="_x0000_s1026" type="#_x0000_t32" style="position:absolute;margin-left:320.6pt;margin-top:9.65pt;width:25.55pt;height:0;z-index:25165825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" strokecolor="#b7dee8" strokeweight="3pt">
                <v:stroke endarrow="block"/>
              </v:shape>
            </w:pict>
          </mc:Fallback>
        </mc:AlternateContent>
      </w:r>
    </w:p>
    <w:p w14:paraId="2873E3DB" w14:textId="0C10FB19" w:rsidR="00DE4D69" w:rsidRDefault="00DE4D69" w:rsidP="00DE4D69">
      <w:pPr>
        <w:keepNext/>
        <w:keepLines/>
      </w:pPr>
    </w:p>
    <w:p w14:paraId="6304A3C7" w14:textId="0CC38FFC" w:rsidR="00DE4D69" w:rsidRDefault="00DE4D69" w:rsidP="00DE4D69">
      <w:pPr>
        <w:keepNext/>
        <w:keepLines/>
      </w:pPr>
      <w:r w:rsidRPr="00055E24">
        <w:rPr>
          <w:rFonts w:cstheme="minorBidi"/>
          <w:noProof/>
          <w:lang w:eastAsia="en-GB" w:bidi="ar-SA"/>
        </w:rPr>
        <mc:AlternateContent>
          <mc:Choice Requires="wps">
            <w:drawing>
              <wp:anchor distT="45720" distB="45720" distL="114300" distR="114300" simplePos="0" relativeHeight="251658248" behindDoc="0" locked="0" layoutInCell="1" allowOverlap="1" wp14:anchorId="1EB28C50" wp14:editId="2A4B0C00">
                <wp:simplePos x="0" y="0"/>
                <wp:positionH relativeFrom="margin">
                  <wp:posOffset>1863090</wp:posOffset>
                </wp:positionH>
                <wp:positionV relativeFrom="paragraph">
                  <wp:posOffset>54199</wp:posOffset>
                </wp:positionV>
                <wp:extent cx="485775" cy="1404620"/>
                <wp:effectExtent l="0" t="0" r="0" b="571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404620"/>
                        </a:xfrm>
                        <a:prstGeom prst="rect">
                          <a:avLst/>
                        </a:prstGeom>
                        <a:noFill/>
                        <a:ln w="9525">
                          <a:noFill/>
                          <a:miter lim="800000"/>
                          <a:headEnd/>
                          <a:tailEnd/>
                        </a:ln>
                      </wps:spPr>
                      <wps:txbx>
                        <w:txbxContent>
                          <w:p w14:paraId="6BB18E58" w14:textId="77777777" w:rsidR="00E202C8" w:rsidRPr="00073626" w:rsidRDefault="00E202C8" w:rsidP="00DE4D69">
                            <w:pPr>
                              <w:rPr>
                                <w:b/>
                              </w:rPr>
                            </w:pPr>
                            <w:r>
                              <w:rPr>
                                <w:b/>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B28C50" id="_x0000_s1077" type="#_x0000_t202" style="position:absolute;margin-left:146.7pt;margin-top:4.25pt;width:38.25pt;height:110.6pt;z-index:251658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" filled="f" stroked="f">
                <v:textbox style="mso-fit-shape-to-text:t">
                  <w:txbxContent>
                    <w:p w14:paraId="6BB18E58" w14:textId="77777777" w:rsidR="00E202C8" w:rsidRPr="00073626" w:rsidRDefault="00E202C8" w:rsidP="00DE4D69">
                      <w:pPr>
                        <w:rPr>
                          <w:b/>
                        </w:rPr>
                      </w:pPr>
                      <w:r>
                        <w:rPr>
                          <w:b/>
                        </w:rPr>
                        <w:t>Yes</w:t>
                      </w:r>
                    </w:p>
                  </w:txbxContent>
                </v:textbox>
                <w10:wrap type="square" anchorx="margin"/>
              </v:shape>
            </w:pict>
          </mc:Fallback>
        </mc:AlternateContent>
      </w:r>
    </w:p>
    <w:p w14:paraId="6FA90202" w14:textId="7C20AE17" w:rsidR="00DE4D69" w:rsidRDefault="00DE4D69" w:rsidP="00DE4D69">
      <w:pPr>
        <w:keepNext/>
        <w:keepLines/>
      </w:pPr>
    </w:p>
    <w:p w14:paraId="41BF0654" w14:textId="77777777" w:rsidR="00DE4D69" w:rsidRDefault="00DE4D69" w:rsidP="00DE4D69">
      <w:pPr>
        <w:keepNext/>
        <w:keepLines/>
      </w:pPr>
    </w:p>
    <w:p w14:paraId="5862AB3E" w14:textId="77777777" w:rsidR="00DE4D69" w:rsidRDefault="00DE4D69" w:rsidP="00DE4D69">
      <w:pPr>
        <w:keepNext/>
        <w:keepLines/>
      </w:pPr>
    </w:p>
    <w:p w14:paraId="5C50447C" w14:textId="77777777" w:rsidR="00DE4D69" w:rsidRDefault="00DE4D69" w:rsidP="00DE4D69">
      <w:pPr>
        <w:keepNext/>
        <w:keepLines/>
      </w:pPr>
      <w:r w:rsidRPr="00055E24">
        <w:rPr>
          <w:rFonts w:cstheme="minorBidi"/>
          <w:noProof/>
          <w:lang w:eastAsia="en-GB" w:bidi="ar-SA"/>
        </w:rPr>
        <mc:AlternateContent>
          <mc:Choice Requires="wps">
            <w:drawing>
              <wp:anchor distT="0" distB="0" distL="114300" distR="114300" simplePos="0" relativeHeight="251658251" behindDoc="0" locked="0" layoutInCell="1" allowOverlap="1" wp14:anchorId="7EEA6E9A" wp14:editId="02A20488">
                <wp:simplePos x="0" y="0"/>
                <wp:positionH relativeFrom="column">
                  <wp:posOffset>3775627</wp:posOffset>
                </wp:positionH>
                <wp:positionV relativeFrom="paragraph">
                  <wp:posOffset>109220</wp:posOffset>
                </wp:positionV>
                <wp:extent cx="572135" cy="0"/>
                <wp:effectExtent l="0" t="95250" r="0" b="95250"/>
                <wp:wrapNone/>
                <wp:docPr id="101" name="Straight Arrow Connector 101"/>
                <wp:cNvGraphicFramePr/>
                <a:graphic xmlns:a="http://schemas.openxmlformats.org/drawingml/2006/main">
                  <a:graphicData uri="http://schemas.microsoft.com/office/word/2010/wordprocessingShape">
                    <wps:wsp>
                      <wps:cNvCnPr/>
                      <wps:spPr>
                        <a:xfrm>
                          <a:off x="0" y="0"/>
                          <a:ext cx="572135" cy="0"/>
                        </a:xfrm>
                        <a:prstGeom prst="straightConnector1">
                          <a:avLst/>
                        </a:prstGeom>
                        <a:noFill/>
                        <a:ln w="38100" cap="flat" cmpd="sng" algn="ctr">
                          <a:solidFill>
                            <a:srgbClr val="4BACC6">
                              <a:lumMod val="40000"/>
                              <a:lumOff val="60000"/>
                            </a:srgbClr>
                          </a:solidFill>
                          <a:prstDash val="solid"/>
                          <a:tailEnd type="triangle"/>
                        </a:ln>
                        <a:effectLst/>
                      </wps:spPr>
                      <wps:bodyPr/>
                    </wps:wsp>
                  </a:graphicData>
                </a:graphic>
              </wp:anchor>
            </w:drawing>
          </mc:Choice>
          <mc:Fallback>
            <w:pict>
              <v:shape w14:anchorId="210E547D" id="Straight Arrow Connector 101" o:spid="_x0000_s1026" type="#_x0000_t32" style="position:absolute;margin-left:297.3pt;margin-top:8.6pt;width:45.05pt;height:0;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" strokecolor="#b7dee8" strokeweight="3pt">
                <v:stroke endarrow="block"/>
              </v:shape>
            </w:pict>
          </mc:Fallback>
        </mc:AlternateContent>
      </w:r>
    </w:p>
    <w:p w14:paraId="0E603685" w14:textId="77777777" w:rsidR="00DE4D69" w:rsidRDefault="00DE4D69" w:rsidP="00DE4D69">
      <w:pPr>
        <w:keepNext/>
        <w:keepLines/>
      </w:pPr>
    </w:p>
    <w:p w14:paraId="1C184E41" w14:textId="77777777" w:rsidR="00DE4D69" w:rsidRDefault="00DE4D69" w:rsidP="00DE4D69">
      <w:pPr>
        <w:keepNext/>
        <w:keepLines/>
      </w:pPr>
    </w:p>
    <w:p w14:paraId="6B7EE775" w14:textId="4358EE54" w:rsidR="00DE4D69" w:rsidRDefault="00DE4D69" w:rsidP="00DE4D69">
      <w:pPr>
        <w:keepNext/>
        <w:keepLines/>
      </w:pPr>
    </w:p>
    <w:p w14:paraId="7E825728" w14:textId="02687296" w:rsidR="00DE4D69" w:rsidRDefault="00DE4D69" w:rsidP="00DE4D69">
      <w:pPr>
        <w:keepNext/>
        <w:keepLines/>
      </w:pPr>
    </w:p>
    <w:p w14:paraId="695689D9" w14:textId="1078A0BD" w:rsidR="00DE4D69" w:rsidRDefault="00DE4D69" w:rsidP="00DE4D69">
      <w:pPr>
        <w:keepNext/>
        <w:keepLines/>
      </w:pPr>
      <w:r w:rsidRPr="00055E24">
        <w:rPr>
          <w:rFonts w:cstheme="minorBidi"/>
          <w:noProof/>
          <w:lang w:eastAsia="en-GB" w:bidi="ar-SA"/>
        </w:rPr>
        <mc:AlternateContent>
          <mc:Choice Requires="wps">
            <w:drawing>
              <wp:anchor distT="0" distB="0" distL="114300" distR="114300" simplePos="0" relativeHeight="251658247" behindDoc="0" locked="0" layoutInCell="1" allowOverlap="1" wp14:anchorId="1C948F2E" wp14:editId="246FF01C">
                <wp:simplePos x="0" y="0"/>
                <wp:positionH relativeFrom="margin">
                  <wp:posOffset>0</wp:posOffset>
                </wp:positionH>
                <wp:positionV relativeFrom="paragraph">
                  <wp:posOffset>29210</wp:posOffset>
                </wp:positionV>
                <wp:extent cx="4038600" cy="946150"/>
                <wp:effectExtent l="0" t="0" r="19050" b="25400"/>
                <wp:wrapNone/>
                <wp:docPr id="23" name="Rounded Rectangle 23"/>
                <wp:cNvGraphicFramePr/>
                <a:graphic xmlns:a="http://schemas.openxmlformats.org/drawingml/2006/main">
                  <a:graphicData uri="http://schemas.microsoft.com/office/word/2010/wordprocessingShape">
                    <wps:wsp>
                      <wps:cNvSpPr/>
                      <wps:spPr>
                        <a:xfrm>
                          <a:off x="0" y="0"/>
                          <a:ext cx="4038600" cy="946150"/>
                        </a:xfrm>
                        <a:prstGeom prst="roundRect">
                          <a:avLst/>
                        </a:prstGeom>
                        <a:solidFill>
                          <a:schemeClr val="accent5">
                            <a:lumMod val="20000"/>
                            <a:lumOff val="80000"/>
                          </a:schemeClr>
                        </a:solidFill>
                        <a:ln w="25400" cap="flat" cmpd="sng" algn="ctr">
                          <a:solidFill>
                            <a:srgbClr val="4BACC6">
                              <a:lumMod val="40000"/>
                              <a:lumOff val="60000"/>
                            </a:srgbClr>
                          </a:solidFill>
                          <a:prstDash val="solid"/>
                        </a:ln>
                        <a:effectLst/>
                      </wps:spPr>
                      <wps:txbx>
                        <w:txbxContent>
                          <w:p w14:paraId="15AEB889" w14:textId="77777777" w:rsidR="00E202C8" w:rsidRPr="00764705" w:rsidRDefault="00E202C8" w:rsidP="00DE4D69">
                            <w:pPr>
                              <w:rPr>
                                <w:rFonts w:ascii="Helvetica" w:hAnsi="Helvetica" w:cs="Helvetica"/>
                                <w:b/>
                              </w:rPr>
                            </w:pPr>
                            <w:r>
                              <w:rPr>
                                <w:rFonts w:ascii="Helvetica" w:hAnsi="Helvetica" w:cs="Helvetica"/>
                                <w:b/>
                              </w:rPr>
                              <w:t>Data</w:t>
                            </w:r>
                            <w:r w:rsidRPr="00764705">
                              <w:rPr>
                                <w:rFonts w:ascii="Helvetica" w:hAnsi="Helvetica" w:cs="Helvetica"/>
                                <w:b/>
                              </w:rPr>
                              <w:t xml:space="preserve"> </w:t>
                            </w:r>
                            <w:r>
                              <w:rPr>
                                <w:rFonts w:ascii="Helvetica" w:hAnsi="Helvetica" w:cs="Helvetica"/>
                                <w:b/>
                              </w:rPr>
                              <w:t xml:space="preserve">needed </w:t>
                            </w:r>
                            <w:r w:rsidRPr="00764705">
                              <w:rPr>
                                <w:rFonts w:ascii="Helvetica" w:hAnsi="Helvetica" w:cs="Helvetica"/>
                                <w:b/>
                              </w:rPr>
                              <w:t>on:</w:t>
                            </w:r>
                          </w:p>
                          <w:p w14:paraId="6AEA2F44" w14:textId="1D06BC42" w:rsidR="00E202C8" w:rsidRPr="00764705" w:rsidRDefault="00E202C8" w:rsidP="00DE4D69">
                            <w:pPr>
                              <w:pStyle w:val="ListParagraph"/>
                              <w:widowControl/>
                              <w:numPr>
                                <w:ilvl w:val="0"/>
                                <w:numId w:val="14"/>
                              </w:numPr>
                              <w:rPr>
                                <w:rFonts w:ascii="Helvetica" w:hAnsi="Helvetica" w:cs="Helvetica"/>
                                <w:b/>
                                <w:lang w:val="en"/>
                              </w:rPr>
                            </w:pPr>
                            <w:r>
                              <w:rPr>
                                <w:rFonts w:ascii="Helvetica" w:hAnsi="Helvetica" w:cs="Helvetica"/>
                              </w:rPr>
                              <w:t>C</w:t>
                            </w:r>
                            <w:r w:rsidRPr="00764705">
                              <w:rPr>
                                <w:rFonts w:ascii="Helvetica" w:hAnsi="Helvetica" w:cs="Helvetica"/>
                              </w:rPr>
                              <w:t xml:space="preserve">oncentrations of the 3 natural glycolipids identified in </w:t>
                            </w:r>
                            <w:r>
                              <w:rPr>
                                <w:rFonts w:ascii="Helvetica" w:hAnsi="Helvetica" w:cs="Helvetica"/>
                              </w:rPr>
                              <w:t>j</w:t>
                            </w:r>
                            <w:r w:rsidRPr="005F7B7D">
                              <w:rPr>
                                <w:rFonts w:ascii="Helvetica" w:hAnsi="Helvetica" w:cs="Helvetica"/>
                              </w:rPr>
                              <w:t>elly mushroom glycolipids</w:t>
                            </w:r>
                            <w:r w:rsidRPr="00764705">
                              <w:rPr>
                                <w:rFonts w:ascii="Helvetica" w:hAnsi="Helvetica" w:cs="Helvetica"/>
                              </w:rPr>
                              <w:t xml:space="preserve"> in other foods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948F2E" id="Rounded Rectangle 23" o:spid="_x0000_s1078" style="position:absolute;margin-left:0;margin-top:2.3pt;width:318pt;height:74.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" fillcolor="#daeef3 [664]" strokecolor="#b7dee8" strokeweight="2pt">
                <v:textbox>
                  <w:txbxContent>
                    <w:p w14:paraId="15AEB889" w14:textId="77777777" w:rsidR="00E202C8" w:rsidRPr="00764705" w:rsidRDefault="00E202C8" w:rsidP="00DE4D69">
                      <w:pPr>
                        <w:rPr>
                          <w:rFonts w:ascii="Helvetica" w:hAnsi="Helvetica" w:cs="Helvetica"/>
                          <w:b/>
                        </w:rPr>
                      </w:pPr>
                      <w:r>
                        <w:rPr>
                          <w:rFonts w:ascii="Helvetica" w:hAnsi="Helvetica" w:cs="Helvetica"/>
                          <w:b/>
                        </w:rPr>
                        <w:t>Data</w:t>
                      </w:r>
                      <w:r w:rsidRPr="00764705">
                        <w:rPr>
                          <w:rFonts w:ascii="Helvetica" w:hAnsi="Helvetica" w:cs="Helvetica"/>
                          <w:b/>
                        </w:rPr>
                        <w:t xml:space="preserve"> </w:t>
                      </w:r>
                      <w:r>
                        <w:rPr>
                          <w:rFonts w:ascii="Helvetica" w:hAnsi="Helvetica" w:cs="Helvetica"/>
                          <w:b/>
                        </w:rPr>
                        <w:t xml:space="preserve">needed </w:t>
                      </w:r>
                      <w:r w:rsidRPr="00764705">
                        <w:rPr>
                          <w:rFonts w:ascii="Helvetica" w:hAnsi="Helvetica" w:cs="Helvetica"/>
                          <w:b/>
                        </w:rPr>
                        <w:t>on:</w:t>
                      </w:r>
                    </w:p>
                    <w:p w14:paraId="6AEA2F44" w14:textId="1D06BC42" w:rsidR="00E202C8" w:rsidRPr="00764705" w:rsidRDefault="00E202C8" w:rsidP="00DE4D69">
                      <w:pPr>
                        <w:pStyle w:val="ListParagraph"/>
                        <w:widowControl/>
                        <w:numPr>
                          <w:ilvl w:val="0"/>
                          <w:numId w:val="14"/>
                        </w:numPr>
                        <w:rPr>
                          <w:rFonts w:ascii="Helvetica" w:hAnsi="Helvetica" w:cs="Helvetica"/>
                          <w:b/>
                          <w:lang w:val="en"/>
                        </w:rPr>
                      </w:pPr>
                      <w:r>
                        <w:rPr>
                          <w:rFonts w:ascii="Helvetica" w:hAnsi="Helvetica" w:cs="Helvetica"/>
                        </w:rPr>
                        <w:t>C</w:t>
                      </w:r>
                      <w:r w:rsidRPr="00764705">
                        <w:rPr>
                          <w:rFonts w:ascii="Helvetica" w:hAnsi="Helvetica" w:cs="Helvetica"/>
                        </w:rPr>
                        <w:t xml:space="preserve">oncentrations of the 3 natural glycolipids identified in </w:t>
                      </w:r>
                      <w:r>
                        <w:rPr>
                          <w:rFonts w:ascii="Helvetica" w:hAnsi="Helvetica" w:cs="Helvetica"/>
                        </w:rPr>
                        <w:t>j</w:t>
                      </w:r>
                      <w:r w:rsidRPr="005F7B7D">
                        <w:rPr>
                          <w:rFonts w:ascii="Helvetica" w:hAnsi="Helvetica" w:cs="Helvetica"/>
                        </w:rPr>
                        <w:t>elly mushroom glycolipids</w:t>
                      </w:r>
                      <w:r w:rsidRPr="00764705">
                        <w:rPr>
                          <w:rFonts w:ascii="Helvetica" w:hAnsi="Helvetica" w:cs="Helvetica"/>
                        </w:rPr>
                        <w:t xml:space="preserve"> in other foods</w:t>
                      </w:r>
                    </w:p>
                  </w:txbxContent>
                </v:textbox>
                <w10:wrap anchorx="margin"/>
              </v:roundrect>
            </w:pict>
          </mc:Fallback>
        </mc:AlternateContent>
      </w:r>
    </w:p>
    <w:p w14:paraId="37F32E76" w14:textId="406F7F6F" w:rsidR="00DE4D69" w:rsidRDefault="00DE4D69" w:rsidP="00DE4D69">
      <w:pPr>
        <w:keepNext/>
        <w:keepLines/>
      </w:pPr>
    </w:p>
    <w:p w14:paraId="074A3C89" w14:textId="553957FB" w:rsidR="00DE4D69" w:rsidRDefault="00DE4D69" w:rsidP="00DE4D69">
      <w:pPr>
        <w:keepNext/>
        <w:keepLines/>
      </w:pPr>
    </w:p>
    <w:p w14:paraId="13F1267B" w14:textId="4BAA1B55" w:rsidR="00DE4D69" w:rsidRDefault="00DE4D69" w:rsidP="00DE4D69">
      <w:pPr>
        <w:keepNext/>
        <w:keepLines/>
      </w:pPr>
    </w:p>
    <w:p w14:paraId="65FDE9E7" w14:textId="59033901" w:rsidR="00DE4D69" w:rsidRDefault="00DE4D69" w:rsidP="00DE4D69">
      <w:pPr>
        <w:keepNext/>
        <w:keepLines/>
      </w:pPr>
    </w:p>
    <w:p w14:paraId="5D0841E8" w14:textId="77777777" w:rsidR="00F94C8F" w:rsidRDefault="00F94C8F" w:rsidP="00F94C8F">
      <w:pPr>
        <w:rPr>
          <w:lang w:bidi="ar-SA"/>
        </w:rPr>
      </w:pPr>
    </w:p>
    <w:p w14:paraId="66D73C11" w14:textId="3F3E0F96" w:rsidR="00F94C8F" w:rsidRDefault="00F94C8F" w:rsidP="00F94C8F">
      <w:pPr>
        <w:rPr>
          <w:lang w:bidi="ar-SA"/>
        </w:rPr>
      </w:pPr>
    </w:p>
    <w:p w14:paraId="3BD777D7" w14:textId="1750C249" w:rsidR="00F94C8F" w:rsidRDefault="00406EB2" w:rsidP="00F94C8F">
      <w:pPr>
        <w:pStyle w:val="FSFigureTitle"/>
        <w:keepNext/>
        <w:keepLines/>
      </w:pPr>
      <w:r w:rsidRPr="00406EB2">
        <w:rPr>
          <w:b/>
        </w:rPr>
        <w:t xml:space="preserve">Figure </w:t>
      </w:r>
      <w:r w:rsidRPr="00406EB2">
        <w:rPr>
          <w:b/>
        </w:rPr>
        <w:fldChar w:fldCharType="begin"/>
      </w:r>
      <w:r w:rsidRPr="00406EB2">
        <w:rPr>
          <w:b/>
        </w:rPr>
        <w:instrText xml:space="preserve"> SEQ Figure \* ARABIC </w:instrText>
      </w:r>
      <w:r w:rsidRPr="00406EB2">
        <w:rPr>
          <w:b/>
        </w:rPr>
        <w:fldChar w:fldCharType="separate"/>
      </w:r>
      <w:r w:rsidR="00E202C8">
        <w:rPr>
          <w:b/>
          <w:noProof/>
        </w:rPr>
        <w:t>6</w:t>
      </w:r>
      <w:r w:rsidRPr="00406EB2">
        <w:rPr>
          <w:b/>
        </w:rPr>
        <w:fldChar w:fldCharType="end"/>
      </w:r>
      <w:r w:rsidRPr="00406EB2">
        <w:tab/>
      </w:r>
      <w:r w:rsidR="00F94C8F" w:rsidRPr="001A66F3">
        <w:t xml:space="preserve"> </w:t>
      </w:r>
      <w:r w:rsidR="00F94C8F">
        <w:t>Decision tree for determining substances to assess</w:t>
      </w:r>
    </w:p>
    <w:p w14:paraId="4AE8B802" w14:textId="765AB3C5" w:rsidR="00F94C8F" w:rsidRDefault="00F94C8F" w:rsidP="00F94C8F">
      <w:pPr>
        <w:rPr>
          <w:lang w:bidi="ar-SA"/>
        </w:rPr>
      </w:pPr>
    </w:p>
    <w:p w14:paraId="10AF917E" w14:textId="75FB309A" w:rsidR="00F94C8F" w:rsidRDefault="00F94C8F" w:rsidP="000D20BD">
      <w:pPr>
        <w:pStyle w:val="Heading2"/>
      </w:pPr>
      <w:bookmarkStart w:id="148" w:name="_Toc43217066"/>
      <w:bookmarkStart w:id="149" w:name="_Toc44401551"/>
      <w:bookmarkStart w:id="150" w:name="_Toc45284303"/>
      <w:bookmarkStart w:id="151" w:name="_Toc46929426"/>
      <w:r>
        <w:t>5</w:t>
      </w:r>
      <w:r w:rsidRPr="00F94C8F">
        <w:t>.2</w:t>
      </w:r>
      <w:r>
        <w:t xml:space="preserve"> </w:t>
      </w:r>
      <w:r w:rsidRPr="00F94C8F">
        <w:t xml:space="preserve">Proposed concentrations of </w:t>
      </w:r>
      <w:r w:rsidR="004C28B5">
        <w:t>j</w:t>
      </w:r>
      <w:r w:rsidR="009105AD">
        <w:t>elly mushroom glycolipids</w:t>
      </w:r>
      <w:r w:rsidRPr="00F94C8F">
        <w:t xml:space="preserve"> as a food additive in foods</w:t>
      </w:r>
      <w:bookmarkEnd w:id="148"/>
      <w:bookmarkEnd w:id="149"/>
      <w:bookmarkEnd w:id="150"/>
      <w:bookmarkEnd w:id="151"/>
    </w:p>
    <w:p w14:paraId="17BC3229" w14:textId="41EED2F8" w:rsidR="00F94C8F" w:rsidRPr="00E224B4" w:rsidRDefault="00F94C8F" w:rsidP="00F94C8F">
      <w:r w:rsidRPr="00E224B4">
        <w:t>The non-alcoholic beverage food c</w:t>
      </w:r>
      <w:r w:rsidR="008C5B49">
        <w:t>lass</w:t>
      </w:r>
      <w:r w:rsidRPr="00E224B4">
        <w:t xml:space="preserve"> requested in the Application to contain </w:t>
      </w:r>
      <w:r w:rsidR="004C28B5">
        <w:t>j</w:t>
      </w:r>
      <w:r w:rsidR="009105AD" w:rsidRPr="00E224B4">
        <w:t>elly mushroom glycolipids</w:t>
      </w:r>
      <w:r w:rsidRPr="00E224B4">
        <w:t xml:space="preserve"> as a food additive and their MPLs are listed </w:t>
      </w:r>
      <w:r w:rsidRPr="00E224B4">
        <w:fldChar w:fldCharType="begin"/>
      </w:r>
      <w:r w:rsidRPr="00E224B4">
        <w:instrText xml:space="preserve"> REF _Ref41991775 \p \h  \* MERGEFORMAT </w:instrText>
      </w:r>
      <w:r w:rsidRPr="00E224B4">
        <w:fldChar w:fldCharType="separate"/>
      </w:r>
      <w:r w:rsidR="00E202C8">
        <w:t>below</w:t>
      </w:r>
      <w:r w:rsidRPr="00E224B4">
        <w:fldChar w:fldCharType="end"/>
      </w:r>
      <w:r w:rsidRPr="00E224B4">
        <w:t xml:space="preserve"> in</w:t>
      </w:r>
      <w:r w:rsidR="00AB3E19">
        <w:t xml:space="preserve"> Table 4</w:t>
      </w:r>
      <w:r w:rsidRPr="00E224B4">
        <w:t>.</w:t>
      </w:r>
      <w:r w:rsidRPr="00E224B4">
        <w:rPr>
          <w:bCs/>
        </w:rPr>
        <w:t xml:space="preserve"> The Applicant also provided more refined MPLs and Usual Use levels f</w:t>
      </w:r>
      <w:r w:rsidR="008C5B49">
        <w:rPr>
          <w:bCs/>
        </w:rPr>
        <w:t>or a selection of sub-classes</w:t>
      </w:r>
      <w:r w:rsidRPr="00E224B4">
        <w:rPr>
          <w:bCs/>
        </w:rPr>
        <w:t xml:space="preserve"> of the selected food classifications (see</w:t>
      </w:r>
      <w:r w:rsidR="00AB3E19">
        <w:rPr>
          <w:bCs/>
        </w:rPr>
        <w:t xml:space="preserve"> Table 4</w:t>
      </w:r>
      <w:r w:rsidRPr="00E224B4">
        <w:rPr>
          <w:bCs/>
        </w:rPr>
        <w:t xml:space="preserve">). </w:t>
      </w:r>
      <w:r w:rsidRPr="00E224B4">
        <w:rPr>
          <w:lang w:eastAsia="en-AU"/>
        </w:rPr>
        <w:t>Three scenarios were examined in this assessment:</w:t>
      </w:r>
    </w:p>
    <w:p w14:paraId="29DD030C" w14:textId="3FF1F145" w:rsidR="00F94C8F" w:rsidRDefault="00F94C8F" w:rsidP="001B7BD8">
      <w:pPr>
        <w:pStyle w:val="FSBullet1"/>
        <w:rPr>
          <w:lang w:eastAsia="en-AU"/>
        </w:rPr>
      </w:pPr>
      <w:r w:rsidRPr="004F4608">
        <w:rPr>
          <w:b/>
          <w:i/>
          <w:lang w:eastAsia="en-AU"/>
        </w:rPr>
        <w:t>General MPL</w:t>
      </w:r>
      <w:r>
        <w:rPr>
          <w:lang w:eastAsia="en-AU"/>
        </w:rPr>
        <w:t>: includes</w:t>
      </w:r>
      <w:r>
        <w:t xml:space="preserve"> only the MPLs requested for general food </w:t>
      </w:r>
      <w:r w:rsidR="008C5B49">
        <w:t>classes</w:t>
      </w:r>
      <w:r>
        <w:t xml:space="preserve"> within the Application, at 100% market penetration into each category requested. If a concentration was not p</w:t>
      </w:r>
      <w:r w:rsidR="008C5B49">
        <w:t>rovided for a specific food code</w:t>
      </w:r>
      <w:r>
        <w:t>, the concentration was assumed to be at the highest concentration from any of the relevant sub-categories.</w:t>
      </w:r>
      <w:r w:rsidR="00B54D61">
        <w:t xml:space="preserve"> </w:t>
      </w:r>
      <w:r w:rsidR="0034117C">
        <w:t>This scenario does not include the contribution from naturally occurring levels.</w:t>
      </w:r>
    </w:p>
    <w:p w14:paraId="1ECAA706" w14:textId="5EB4683D" w:rsidR="00F94C8F" w:rsidRDefault="00F94C8F" w:rsidP="001B7BD8">
      <w:pPr>
        <w:pStyle w:val="FSBullet1"/>
        <w:rPr>
          <w:lang w:eastAsia="en-AU"/>
        </w:rPr>
      </w:pPr>
      <w:r w:rsidRPr="004F4608">
        <w:rPr>
          <w:b/>
          <w:i/>
          <w:lang w:eastAsia="en-AU"/>
        </w:rPr>
        <w:t>Specific MPL:</w:t>
      </w:r>
      <w:r>
        <w:rPr>
          <w:lang w:eastAsia="en-AU"/>
        </w:rPr>
        <w:t xml:space="preserve"> </w:t>
      </w:r>
      <w:r>
        <w:t>includes MPLs for specific food classifications as provided by the Applicant, at 100% market penetration into each category requested. If a concentration was not provided for a specific food code, the concentration was assumed to be at the highest concentration for any of the relevant sub-categories.</w:t>
      </w:r>
      <w:r w:rsidR="000D20BD">
        <w:t xml:space="preserve"> </w:t>
      </w:r>
      <w:r w:rsidR="0034117C">
        <w:t>This scenario does not include the contribution from naturally occurring levels.</w:t>
      </w:r>
    </w:p>
    <w:p w14:paraId="5F76457A" w14:textId="6B5AC237" w:rsidR="00F94C8F" w:rsidRDefault="00F94C8F" w:rsidP="001B7BD8">
      <w:pPr>
        <w:pStyle w:val="FSBullet1"/>
      </w:pPr>
      <w:r w:rsidRPr="004F4608">
        <w:rPr>
          <w:b/>
          <w:i/>
          <w:lang w:eastAsia="en-AU"/>
        </w:rPr>
        <w:t>Usual Use:</w:t>
      </w:r>
      <w:r>
        <w:rPr>
          <w:lang w:eastAsia="en-AU"/>
        </w:rPr>
        <w:t xml:space="preserve"> </w:t>
      </w:r>
      <w:r>
        <w:t>includes the Usual Use levels as provided by the Applicant, at 100% market penetration into each category requested. If a concentration was not provided for a specific food code, the concentration was assumed to be at the highest concentration for any of the relevant sub-categories.</w:t>
      </w:r>
      <w:r w:rsidR="00066939">
        <w:t xml:space="preserve"> </w:t>
      </w:r>
      <w:r w:rsidR="0034117C">
        <w:t>This scenario does not include the contribution from naturally occurring levels.</w:t>
      </w:r>
    </w:p>
    <w:p w14:paraId="13D9AE25" w14:textId="77777777" w:rsidR="001B7BD8" w:rsidRPr="001B7BD8" w:rsidRDefault="001B7BD8" w:rsidP="001B7BD8">
      <w:pPr>
        <w:rPr>
          <w:lang w:bidi="ar-SA"/>
        </w:rPr>
      </w:pPr>
    </w:p>
    <w:p w14:paraId="57545148" w14:textId="79AFB239" w:rsidR="00F94C8F" w:rsidRPr="00E224B4" w:rsidRDefault="00F94C8F" w:rsidP="00F94C8F">
      <w:r w:rsidRPr="00E224B4">
        <w:t>The food category codes used by the Applicant were based on the Australia New Zealand Food Classification System (ANZFCS) in Standard 1.3.1 – Food Additives of the Code and its related Schedules (see</w:t>
      </w:r>
      <w:r w:rsidR="00AB3E19">
        <w:t xml:space="preserve"> Table 4</w:t>
      </w:r>
      <w:r w:rsidRPr="00E224B4">
        <w:t xml:space="preserve">). However, the food classification codes in Harvest can vary and may also be split into sub-groups. To assess the populations’ dietary exposures to </w:t>
      </w:r>
      <w:r w:rsidR="004C28B5">
        <w:t>j</w:t>
      </w:r>
      <w:r w:rsidR="005F7B7D" w:rsidRPr="00E224B4">
        <w:t>elly mushroom glycolipids</w:t>
      </w:r>
      <w:r w:rsidRPr="00E224B4">
        <w:t xml:space="preserve"> as an additive, the food categories proposed by the Applicant and the data provided were assigned to the relevant Harvest food classification codes. The categories selected reflect the description of the foods requested by the Applicant, not the food additive codes. See </w:t>
      </w:r>
      <w:r w:rsidR="00AB3E19">
        <w:t xml:space="preserve">Table 5 </w:t>
      </w:r>
      <w:r w:rsidRPr="00E224B4">
        <w:t xml:space="preserve">for the </w:t>
      </w:r>
      <w:r w:rsidR="004C28B5">
        <w:t>j</w:t>
      </w:r>
      <w:r w:rsidR="005F7B7D" w:rsidRPr="00E224B4">
        <w:t>elly mushroom glycolipids</w:t>
      </w:r>
      <w:r w:rsidRPr="00E224B4">
        <w:t xml:space="preserve"> concentrations used in the dietary exposure assessment.</w:t>
      </w:r>
    </w:p>
    <w:p w14:paraId="58BF0994" w14:textId="2056A9CD" w:rsidR="00F94C8F" w:rsidRDefault="00F94C8F" w:rsidP="000D20BD">
      <w:pPr>
        <w:pStyle w:val="Heading2"/>
      </w:pPr>
      <w:bookmarkStart w:id="152" w:name="_Toc43217067"/>
      <w:bookmarkStart w:id="153" w:name="_Toc44401552"/>
      <w:bookmarkStart w:id="154" w:name="_Toc45284304"/>
      <w:bookmarkStart w:id="155" w:name="_Toc46929427"/>
      <w:r>
        <w:t>5.3 Food consumption data used</w:t>
      </w:r>
      <w:bookmarkEnd w:id="152"/>
      <w:bookmarkEnd w:id="153"/>
      <w:bookmarkEnd w:id="154"/>
      <w:bookmarkEnd w:id="155"/>
    </w:p>
    <w:p w14:paraId="33DF451D" w14:textId="77777777" w:rsidR="00F94C8F" w:rsidRPr="00C472DB" w:rsidRDefault="00F94C8F" w:rsidP="00F94C8F">
      <w:pPr>
        <w:keepNext/>
        <w:keepLines/>
      </w:pPr>
      <w:r w:rsidRPr="00C472DB">
        <w:t>The food consumption data used for the dietary e</w:t>
      </w:r>
      <w:r>
        <w:t>xposure</w:t>
      </w:r>
      <w:r w:rsidRPr="00C472DB">
        <w:t xml:space="preserve"> assessments </w:t>
      </w:r>
      <w:r>
        <w:t>a</w:t>
      </w:r>
      <w:r w:rsidRPr="00C472DB">
        <w:t>re:</w:t>
      </w:r>
    </w:p>
    <w:p w14:paraId="176B34EA" w14:textId="0563A7EF" w:rsidR="00F94C8F" w:rsidRPr="001B7BD8" w:rsidRDefault="00F94C8F" w:rsidP="001B7BD8">
      <w:pPr>
        <w:pStyle w:val="FSBullet1"/>
      </w:pPr>
      <w:r w:rsidRPr="001B7BD8">
        <w:t>2011-12 Australian National Nutrition and Physical Activity Survey (2011-12 NNPAS)</w:t>
      </w:r>
    </w:p>
    <w:p w14:paraId="06D9C483" w14:textId="31325DD7" w:rsidR="00F94C8F" w:rsidRPr="001B7BD8" w:rsidRDefault="00F94C8F" w:rsidP="001B7BD8">
      <w:pPr>
        <w:pStyle w:val="FSBullet1"/>
      </w:pPr>
      <w:r w:rsidRPr="001B7BD8">
        <w:t>2008–09 New Zealand Adult Nutrition Survey (2008 NZ ANS)</w:t>
      </w:r>
    </w:p>
    <w:p w14:paraId="6B547E59" w14:textId="5967DF69" w:rsidR="00F94C8F" w:rsidRDefault="00F94C8F" w:rsidP="001B7BD8">
      <w:pPr>
        <w:pStyle w:val="FSBullet1"/>
      </w:pPr>
      <w:r w:rsidRPr="001B7BD8">
        <w:t>2002 New Zealand National Children’s Nutrition Survey (2002 NZ CNS).</w:t>
      </w:r>
    </w:p>
    <w:p w14:paraId="00F2B802" w14:textId="77777777" w:rsidR="001B7BD8" w:rsidRPr="001B7BD8" w:rsidRDefault="001B7BD8" w:rsidP="001B7BD8">
      <w:pPr>
        <w:rPr>
          <w:lang w:bidi="ar-SA"/>
        </w:rPr>
      </w:pPr>
    </w:p>
    <w:p w14:paraId="26F43626" w14:textId="614AFEB1" w:rsidR="00E61AB6" w:rsidRDefault="00360EB2" w:rsidP="00E61AB6">
      <w:pPr>
        <w:pStyle w:val="FSBullet1"/>
        <w:numPr>
          <w:ilvl w:val="0"/>
          <w:numId w:val="0"/>
        </w:numPr>
        <w:ind w:left="142"/>
        <w:sectPr w:rsidR="00E61AB6" w:rsidSect="00C156A4">
          <w:headerReference w:type="even" r:id="rId26"/>
          <w:headerReference w:type="default" r:id="rId27"/>
          <w:footerReference w:type="even" r:id="rId28"/>
          <w:headerReference w:type="first" r:id="rId29"/>
          <w:footerReference w:type="first" r:id="rId30"/>
          <w:pgSz w:w="11906" w:h="16838" w:code="9"/>
          <w:pgMar w:top="1418" w:right="1418" w:bottom="1418" w:left="1418" w:header="510" w:footer="346" w:gutter="0"/>
          <w:cols w:space="708"/>
          <w:docGrid w:linePitch="360"/>
        </w:sectPr>
      </w:pPr>
      <w:r w:rsidRPr="00047F90" w:rsidDel="0045030B">
        <w:t>Two days of consumption data were average</w:t>
      </w:r>
      <w:r w:rsidDel="0045030B">
        <w:t>d</w:t>
      </w:r>
      <w:r w:rsidRPr="00047F90" w:rsidDel="0045030B">
        <w:t xml:space="preserve"> for Australia using the 2011-12 NNPAS, while consumption amounts for New Zealand were based on a singl</w:t>
      </w:r>
      <w:r w:rsidDel="0045030B">
        <w:t>e day of nutrition survey data.</w:t>
      </w:r>
      <w:r>
        <w:t xml:space="preserve"> </w:t>
      </w:r>
      <w:r w:rsidR="00F94C8F">
        <w:t>The design of these</w:t>
      </w:r>
      <w:r w:rsidR="00F94C8F" w:rsidRPr="00E1781E">
        <w:t xml:space="preserve"> nutrition survey</w:t>
      </w:r>
      <w:r w:rsidR="00F94C8F">
        <w:t>s</w:t>
      </w:r>
      <w:r w:rsidR="00F94C8F" w:rsidRPr="00E1781E">
        <w:t xml:space="preserve"> and the key attributes, including survey limitations, are set out in </w:t>
      </w:r>
      <w:r w:rsidR="00F94C8F" w:rsidRPr="00E1781E">
        <w:fldChar w:fldCharType="begin"/>
      </w:r>
      <w:r w:rsidR="00F94C8F" w:rsidRPr="00E1781E">
        <w:instrText xml:space="preserve"> REF _Ref406592480 \h  \* MERGEFORMAT </w:instrText>
      </w:r>
      <w:r w:rsidR="00F94C8F" w:rsidRPr="00E1781E">
        <w:fldChar w:fldCharType="separate"/>
      </w:r>
      <w:r w:rsidR="00E202C8">
        <w:t xml:space="preserve">Appendix </w:t>
      </w:r>
      <w:r w:rsidR="00E202C8">
        <w:rPr>
          <w:noProof/>
        </w:rPr>
        <w:t>1</w:t>
      </w:r>
      <w:r w:rsidR="00F94C8F" w:rsidRPr="00E1781E">
        <w:fldChar w:fldCharType="end"/>
      </w:r>
      <w:r w:rsidR="00F94C8F" w:rsidRPr="00E1781E">
        <w:t>.</w:t>
      </w:r>
      <w:bookmarkStart w:id="156" w:name="_Ref41991761"/>
      <w:bookmarkStart w:id="157" w:name="_Ref41991775"/>
    </w:p>
    <w:tbl>
      <w:tblPr>
        <w:tblStyle w:val="GridTable4-Accent5"/>
        <w:tblW w:w="5000" w:type="pct"/>
        <w:tblLook w:val="04A0" w:firstRow="1" w:lastRow="0" w:firstColumn="1" w:lastColumn="0" w:noHBand="0" w:noVBand="1"/>
        <w:tblDescription w:val="Proposed concentrations of Natural Glycolipids (AM-1) in various non-alcoholic beverages for the General MPL, Specific MRL and Usual Use scenarios, as provided by the Applicant"/>
      </w:tblPr>
      <w:tblGrid>
        <w:gridCol w:w="1795"/>
        <w:gridCol w:w="2218"/>
        <w:gridCol w:w="4570"/>
        <w:gridCol w:w="907"/>
        <w:gridCol w:w="1504"/>
        <w:gridCol w:w="1504"/>
        <w:gridCol w:w="1504"/>
      </w:tblGrid>
      <w:tr w:rsidR="00E61AB6" w:rsidRPr="008F3CB1" w14:paraId="0D9B79AF" w14:textId="77777777" w:rsidTr="00D513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il"/>
              <w:left w:val="nil"/>
              <w:right w:val="nil"/>
            </w:tcBorders>
            <w:shd w:val="clear" w:color="auto" w:fill="auto"/>
          </w:tcPr>
          <w:p w14:paraId="1AC4DE93" w14:textId="29D7976D" w:rsidR="00E61AB6" w:rsidRPr="002746B1" w:rsidRDefault="00E61AB6" w:rsidP="00D51340">
            <w:pPr>
              <w:pStyle w:val="FSTableTitle"/>
              <w:rPr>
                <w:b/>
                <w:color w:val="auto"/>
                <w:sz w:val="18"/>
                <w:szCs w:val="18"/>
              </w:rPr>
            </w:pPr>
            <w:r w:rsidRPr="002746B1">
              <w:rPr>
                <w:b/>
                <w:color w:val="auto"/>
              </w:rPr>
              <w:t xml:space="preserve">Table </w:t>
            </w:r>
            <w:r w:rsidRPr="002746B1">
              <w:fldChar w:fldCharType="begin"/>
            </w:r>
            <w:r w:rsidRPr="002746B1">
              <w:rPr>
                <w:b/>
                <w:color w:val="auto"/>
              </w:rPr>
              <w:instrText xml:space="preserve"> SEQ Table \* ARABIC </w:instrText>
            </w:r>
            <w:r w:rsidRPr="002746B1">
              <w:fldChar w:fldCharType="separate"/>
            </w:r>
            <w:r w:rsidR="00E202C8">
              <w:rPr>
                <w:b/>
                <w:noProof/>
                <w:color w:val="auto"/>
              </w:rPr>
              <w:t>4</w:t>
            </w:r>
            <w:r w:rsidRPr="002746B1">
              <w:fldChar w:fldCharType="end"/>
            </w:r>
            <w:r w:rsidRPr="002746B1">
              <w:rPr>
                <w:b/>
                <w:color w:val="auto"/>
              </w:rPr>
              <w:t xml:space="preserve">: Requested concentrations of </w:t>
            </w:r>
            <w:r>
              <w:rPr>
                <w:b/>
                <w:color w:val="auto"/>
              </w:rPr>
              <w:t>j</w:t>
            </w:r>
            <w:r w:rsidRPr="005F7B7D">
              <w:rPr>
                <w:b/>
                <w:color w:val="auto"/>
              </w:rPr>
              <w:t>elly mushroom glycolipids</w:t>
            </w:r>
            <w:r w:rsidRPr="002746B1">
              <w:rPr>
                <w:b/>
                <w:color w:val="auto"/>
              </w:rPr>
              <w:t xml:space="preserve"> in non-alcoholic beverages for all scenarios</w:t>
            </w:r>
          </w:p>
        </w:tc>
      </w:tr>
      <w:tr w:rsidR="00E61AB6" w:rsidRPr="008F3CB1" w14:paraId="6704544F" w14:textId="77777777" w:rsidTr="00D513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1" w:type="pct"/>
          </w:tcPr>
          <w:p w14:paraId="2097DE9B" w14:textId="77777777" w:rsidR="00E61AB6" w:rsidRPr="008F3CB1" w:rsidRDefault="00E61AB6" w:rsidP="00D51340">
            <w:pPr>
              <w:keepNext/>
              <w:keepLines/>
              <w:spacing w:before="60" w:after="60"/>
              <w:rPr>
                <w:iCs/>
                <w:sz w:val="18"/>
                <w:szCs w:val="18"/>
              </w:rPr>
            </w:pPr>
            <w:r w:rsidRPr="008F3CB1">
              <w:rPr>
                <w:iCs/>
                <w:sz w:val="18"/>
                <w:szCs w:val="18"/>
              </w:rPr>
              <w:t>S15-5 category number</w:t>
            </w:r>
          </w:p>
        </w:tc>
        <w:tc>
          <w:tcPr>
            <w:tcW w:w="792" w:type="pct"/>
          </w:tcPr>
          <w:p w14:paraId="7D43A457" w14:textId="77777777" w:rsidR="00E61AB6" w:rsidRPr="008F3CB1" w:rsidRDefault="00E61AB6" w:rsidP="00D51340">
            <w:pPr>
              <w:keepNext/>
              <w:keepLines/>
              <w:spacing w:before="60" w:after="60"/>
              <w:cnfStyle w:val="100000000000" w:firstRow="1" w:lastRow="0" w:firstColumn="0" w:lastColumn="0" w:oddVBand="0" w:evenVBand="0" w:oddHBand="0" w:evenHBand="0" w:firstRowFirstColumn="0" w:firstRowLastColumn="0" w:lastRowFirstColumn="0" w:lastRowLastColumn="0"/>
              <w:rPr>
                <w:iCs/>
                <w:sz w:val="18"/>
                <w:szCs w:val="18"/>
              </w:rPr>
            </w:pPr>
            <w:r w:rsidRPr="008F3CB1">
              <w:rPr>
                <w:iCs/>
                <w:sz w:val="18"/>
                <w:szCs w:val="18"/>
              </w:rPr>
              <w:t xml:space="preserve">Food </w:t>
            </w:r>
            <w:r>
              <w:rPr>
                <w:iCs/>
                <w:sz w:val="18"/>
                <w:szCs w:val="18"/>
              </w:rPr>
              <w:t>class</w:t>
            </w:r>
            <w:r w:rsidRPr="008F3CB1">
              <w:rPr>
                <w:iCs/>
                <w:sz w:val="18"/>
                <w:szCs w:val="18"/>
              </w:rPr>
              <w:t xml:space="preserve"> name</w:t>
            </w:r>
          </w:p>
        </w:tc>
        <w:tc>
          <w:tcPr>
            <w:tcW w:w="1632" w:type="pct"/>
          </w:tcPr>
          <w:p w14:paraId="27049B1D" w14:textId="77777777" w:rsidR="00E61AB6" w:rsidRPr="008F3CB1" w:rsidRDefault="00E61AB6" w:rsidP="00D51340">
            <w:pPr>
              <w:keepNext/>
              <w:keepLines/>
              <w:spacing w:before="60" w:after="60"/>
              <w:cnfStyle w:val="100000000000" w:firstRow="1" w:lastRow="0" w:firstColumn="0" w:lastColumn="0" w:oddVBand="0" w:evenVBand="0" w:oddHBand="0" w:evenHBand="0" w:firstRowFirstColumn="0" w:firstRowLastColumn="0" w:lastRowFirstColumn="0" w:lastRowLastColumn="0"/>
              <w:rPr>
                <w:iCs/>
                <w:sz w:val="18"/>
                <w:szCs w:val="18"/>
              </w:rPr>
            </w:pPr>
            <w:r w:rsidRPr="008F3CB1">
              <w:rPr>
                <w:iCs/>
                <w:sz w:val="18"/>
                <w:szCs w:val="18"/>
              </w:rPr>
              <w:t>Details of use in specific foods within category</w:t>
            </w:r>
          </w:p>
        </w:tc>
        <w:tc>
          <w:tcPr>
            <w:tcW w:w="324" w:type="pct"/>
          </w:tcPr>
          <w:p w14:paraId="76BF6499" w14:textId="77777777" w:rsidR="00E61AB6" w:rsidRPr="008F3CB1" w:rsidRDefault="00E61AB6" w:rsidP="00D51340">
            <w:pPr>
              <w:keepNext/>
              <w:keepLines/>
              <w:spacing w:before="60" w:after="60"/>
              <w:cnfStyle w:val="100000000000" w:firstRow="1" w:lastRow="0" w:firstColumn="0" w:lastColumn="0" w:oddVBand="0" w:evenVBand="0" w:oddHBand="0" w:evenHBand="0" w:firstRowFirstColumn="0" w:firstRowLastColumn="0" w:lastRowFirstColumn="0" w:lastRowLastColumn="0"/>
              <w:rPr>
                <w:iCs/>
                <w:sz w:val="18"/>
                <w:szCs w:val="18"/>
              </w:rPr>
            </w:pPr>
            <w:r w:rsidRPr="008F3CB1">
              <w:rPr>
                <w:iCs/>
                <w:sz w:val="18"/>
                <w:szCs w:val="18"/>
              </w:rPr>
              <w:t>Specific code</w:t>
            </w:r>
          </w:p>
        </w:tc>
        <w:tc>
          <w:tcPr>
            <w:tcW w:w="537" w:type="pct"/>
          </w:tcPr>
          <w:p w14:paraId="27834336" w14:textId="77777777" w:rsidR="00E61AB6" w:rsidRPr="008F3CB1" w:rsidRDefault="00E61AB6" w:rsidP="00D51340">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iCs/>
                <w:sz w:val="18"/>
                <w:szCs w:val="18"/>
              </w:rPr>
            </w:pPr>
            <w:r w:rsidRPr="008F3CB1">
              <w:rPr>
                <w:iCs/>
                <w:sz w:val="18"/>
                <w:szCs w:val="18"/>
              </w:rPr>
              <w:t>General MPL (mg/kg)</w:t>
            </w:r>
          </w:p>
        </w:tc>
        <w:tc>
          <w:tcPr>
            <w:tcW w:w="537" w:type="pct"/>
          </w:tcPr>
          <w:p w14:paraId="71B62B62" w14:textId="77777777" w:rsidR="00E61AB6" w:rsidRPr="008F3CB1" w:rsidRDefault="00E61AB6" w:rsidP="00D51340">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iCs/>
                <w:sz w:val="18"/>
                <w:szCs w:val="18"/>
              </w:rPr>
            </w:pPr>
            <w:r w:rsidRPr="008F3CB1">
              <w:rPr>
                <w:iCs/>
                <w:sz w:val="18"/>
                <w:szCs w:val="18"/>
              </w:rPr>
              <w:t>Specific MPL (mg/kg)</w:t>
            </w:r>
          </w:p>
        </w:tc>
        <w:tc>
          <w:tcPr>
            <w:tcW w:w="537" w:type="pct"/>
          </w:tcPr>
          <w:p w14:paraId="74AB345A" w14:textId="77777777" w:rsidR="00E61AB6" w:rsidRPr="008F3CB1" w:rsidRDefault="00E61AB6" w:rsidP="00D51340">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sz w:val="18"/>
                <w:szCs w:val="18"/>
              </w:rPr>
            </w:pPr>
            <w:r w:rsidRPr="008F3CB1">
              <w:rPr>
                <w:sz w:val="18"/>
                <w:szCs w:val="18"/>
              </w:rPr>
              <w:t>Usual Use (mg/kg)</w:t>
            </w:r>
          </w:p>
        </w:tc>
      </w:tr>
      <w:tr w:rsidR="00E61AB6" w:rsidRPr="00A27E99" w14:paraId="419CA409" w14:textId="77777777" w:rsidTr="00D51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14:paraId="2C233F08" w14:textId="77777777" w:rsidR="00E61AB6" w:rsidRPr="0004778F" w:rsidRDefault="00E61AB6" w:rsidP="00D51340">
            <w:pPr>
              <w:keepNext/>
              <w:keepLines/>
              <w:spacing w:before="60" w:after="60"/>
              <w:rPr>
                <w:iCs/>
                <w:sz w:val="18"/>
                <w:szCs w:val="18"/>
              </w:rPr>
            </w:pPr>
            <w:r w:rsidRPr="0004778F">
              <w:rPr>
                <w:iCs/>
                <w:sz w:val="18"/>
                <w:szCs w:val="18"/>
              </w:rPr>
              <w:t>14.1</w:t>
            </w:r>
          </w:p>
        </w:tc>
        <w:tc>
          <w:tcPr>
            <w:tcW w:w="792" w:type="pct"/>
          </w:tcPr>
          <w:p w14:paraId="5F35D1B3" w14:textId="77777777" w:rsidR="00E61AB6" w:rsidRPr="0004778F" w:rsidRDefault="00E61AB6" w:rsidP="00D51340">
            <w:pPr>
              <w:keepNext/>
              <w:keepLine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Non-alcoholic beverages</w:t>
            </w:r>
          </w:p>
        </w:tc>
        <w:tc>
          <w:tcPr>
            <w:tcW w:w="1632" w:type="pct"/>
          </w:tcPr>
          <w:p w14:paraId="2EBA97EB" w14:textId="77777777" w:rsidR="00E61AB6" w:rsidRPr="0004778F" w:rsidRDefault="00E61AB6" w:rsidP="00D51340">
            <w:pPr>
              <w:keepNext/>
              <w:keepLine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p>
        </w:tc>
        <w:tc>
          <w:tcPr>
            <w:tcW w:w="324" w:type="pct"/>
          </w:tcPr>
          <w:p w14:paraId="4762EEAF" w14:textId="77777777" w:rsidR="00E61AB6" w:rsidRPr="0004778F" w:rsidRDefault="00E61AB6" w:rsidP="00D51340">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iCs/>
                <w:sz w:val="18"/>
                <w:szCs w:val="18"/>
              </w:rPr>
            </w:pPr>
          </w:p>
        </w:tc>
        <w:tc>
          <w:tcPr>
            <w:tcW w:w="537" w:type="pct"/>
          </w:tcPr>
          <w:p w14:paraId="396B8106" w14:textId="77777777" w:rsidR="00E61AB6" w:rsidRPr="0004778F" w:rsidRDefault="00E61AB6" w:rsidP="00D51340">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Not specified</w:t>
            </w:r>
          </w:p>
        </w:tc>
        <w:tc>
          <w:tcPr>
            <w:tcW w:w="537" w:type="pct"/>
          </w:tcPr>
          <w:p w14:paraId="6C4187A9" w14:textId="77777777" w:rsidR="00E61AB6" w:rsidRPr="0004778F" w:rsidRDefault="00E61AB6" w:rsidP="00D51340">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Not specified</w:t>
            </w:r>
          </w:p>
        </w:tc>
        <w:tc>
          <w:tcPr>
            <w:tcW w:w="537" w:type="pct"/>
          </w:tcPr>
          <w:p w14:paraId="28FE5F59" w14:textId="77777777" w:rsidR="00E61AB6" w:rsidRPr="0004778F" w:rsidRDefault="00E61AB6" w:rsidP="00D51340">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04778F">
              <w:rPr>
                <w:sz w:val="18"/>
                <w:szCs w:val="18"/>
              </w:rPr>
              <w:t>Not specified</w:t>
            </w:r>
          </w:p>
        </w:tc>
      </w:tr>
      <w:tr w:rsidR="00E61AB6" w:rsidRPr="00A27E99" w14:paraId="4DC35703" w14:textId="77777777" w:rsidTr="00D51340">
        <w:tc>
          <w:tcPr>
            <w:cnfStyle w:val="001000000000" w:firstRow="0" w:lastRow="0" w:firstColumn="1" w:lastColumn="0" w:oddVBand="0" w:evenVBand="0" w:oddHBand="0" w:evenHBand="0" w:firstRowFirstColumn="0" w:firstRowLastColumn="0" w:lastRowFirstColumn="0" w:lastRowLastColumn="0"/>
            <w:tcW w:w="641" w:type="pct"/>
            <w:vMerge w:val="restart"/>
          </w:tcPr>
          <w:p w14:paraId="314DCAC8" w14:textId="77777777" w:rsidR="00E61AB6" w:rsidRPr="0004778F" w:rsidRDefault="00E61AB6" w:rsidP="00D51340">
            <w:pPr>
              <w:keepNext/>
              <w:keepLines/>
              <w:spacing w:before="60" w:after="60"/>
              <w:rPr>
                <w:iCs/>
                <w:sz w:val="18"/>
                <w:szCs w:val="18"/>
              </w:rPr>
            </w:pPr>
            <w:r w:rsidRPr="0004778F">
              <w:rPr>
                <w:iCs/>
                <w:sz w:val="18"/>
                <w:szCs w:val="18"/>
              </w:rPr>
              <w:t>14.1.2</w:t>
            </w:r>
          </w:p>
        </w:tc>
        <w:tc>
          <w:tcPr>
            <w:tcW w:w="792" w:type="pct"/>
            <w:vMerge w:val="restart"/>
          </w:tcPr>
          <w:p w14:paraId="10692883" w14:textId="77777777" w:rsidR="00E61AB6" w:rsidRPr="0004778F" w:rsidRDefault="00E61AB6" w:rsidP="00D51340">
            <w:pPr>
              <w:keepNext/>
              <w:keepLine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Fruit and vegetable juices and fruit and vegetable juice products</w:t>
            </w:r>
          </w:p>
        </w:tc>
        <w:tc>
          <w:tcPr>
            <w:tcW w:w="1632" w:type="pct"/>
          </w:tcPr>
          <w:p w14:paraId="2D43D281" w14:textId="77777777" w:rsidR="00E61AB6" w:rsidRPr="0004778F" w:rsidRDefault="00E61AB6" w:rsidP="00D51340">
            <w:pPr>
              <w:keepNext/>
              <w:keepLine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Fruit and vegetable juices (clear)</w:t>
            </w:r>
          </w:p>
        </w:tc>
        <w:tc>
          <w:tcPr>
            <w:tcW w:w="324" w:type="pct"/>
          </w:tcPr>
          <w:p w14:paraId="1DEF5916" w14:textId="77777777" w:rsidR="00E61AB6" w:rsidRPr="0004778F" w:rsidRDefault="00E61AB6" w:rsidP="00D51340">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14.1.2.1</w:t>
            </w:r>
          </w:p>
        </w:tc>
        <w:tc>
          <w:tcPr>
            <w:tcW w:w="537" w:type="pct"/>
          </w:tcPr>
          <w:p w14:paraId="023959A4"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100</w:t>
            </w:r>
          </w:p>
        </w:tc>
        <w:tc>
          <w:tcPr>
            <w:tcW w:w="537" w:type="pct"/>
          </w:tcPr>
          <w:p w14:paraId="6D30A857"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20</w:t>
            </w:r>
          </w:p>
        </w:tc>
        <w:tc>
          <w:tcPr>
            <w:tcW w:w="537" w:type="pct"/>
          </w:tcPr>
          <w:p w14:paraId="7EB7018C"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04778F">
              <w:rPr>
                <w:sz w:val="18"/>
                <w:szCs w:val="18"/>
              </w:rPr>
              <w:t>8</w:t>
            </w:r>
          </w:p>
        </w:tc>
      </w:tr>
      <w:tr w:rsidR="00E61AB6" w:rsidRPr="00A27E99" w14:paraId="2BBDC23E" w14:textId="77777777" w:rsidTr="00D51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vMerge/>
          </w:tcPr>
          <w:p w14:paraId="59EDF15E" w14:textId="77777777" w:rsidR="00E61AB6" w:rsidRPr="0004778F" w:rsidRDefault="00E61AB6" w:rsidP="00D51340">
            <w:pPr>
              <w:keepNext/>
              <w:keepLines/>
              <w:spacing w:before="60" w:after="60"/>
              <w:rPr>
                <w:iCs/>
                <w:sz w:val="18"/>
                <w:szCs w:val="18"/>
              </w:rPr>
            </w:pPr>
          </w:p>
        </w:tc>
        <w:tc>
          <w:tcPr>
            <w:tcW w:w="792" w:type="pct"/>
            <w:vMerge/>
          </w:tcPr>
          <w:p w14:paraId="185196D7" w14:textId="77777777" w:rsidR="00E61AB6" w:rsidRPr="0004778F" w:rsidRDefault="00E61AB6" w:rsidP="00D51340">
            <w:pPr>
              <w:keepNext/>
              <w:keepLine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p>
        </w:tc>
        <w:tc>
          <w:tcPr>
            <w:tcW w:w="1632" w:type="pct"/>
          </w:tcPr>
          <w:p w14:paraId="0D147AF8" w14:textId="77777777" w:rsidR="00E61AB6" w:rsidRPr="0004778F" w:rsidRDefault="00E61AB6" w:rsidP="00D51340">
            <w:pPr>
              <w:keepNext/>
              <w:keepLine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Fruit and vegetable Juices (turbid)</w:t>
            </w:r>
          </w:p>
        </w:tc>
        <w:tc>
          <w:tcPr>
            <w:tcW w:w="324" w:type="pct"/>
          </w:tcPr>
          <w:p w14:paraId="65BE2CCC" w14:textId="77777777" w:rsidR="00E61AB6" w:rsidRPr="0004778F" w:rsidRDefault="00E61AB6" w:rsidP="00D51340">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14.1.2.1</w:t>
            </w:r>
          </w:p>
        </w:tc>
        <w:tc>
          <w:tcPr>
            <w:tcW w:w="537" w:type="pct"/>
          </w:tcPr>
          <w:p w14:paraId="4BC96A7F"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100</w:t>
            </w:r>
          </w:p>
        </w:tc>
        <w:tc>
          <w:tcPr>
            <w:tcW w:w="537" w:type="pct"/>
          </w:tcPr>
          <w:p w14:paraId="0907628E"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100</w:t>
            </w:r>
          </w:p>
        </w:tc>
        <w:tc>
          <w:tcPr>
            <w:tcW w:w="537" w:type="pct"/>
          </w:tcPr>
          <w:p w14:paraId="7B5CA1F2"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sz w:val="18"/>
                <w:szCs w:val="18"/>
              </w:rPr>
            </w:pPr>
            <w:r w:rsidRPr="0004778F">
              <w:rPr>
                <w:sz w:val="18"/>
                <w:szCs w:val="18"/>
              </w:rPr>
              <w:t>75</w:t>
            </w:r>
          </w:p>
        </w:tc>
      </w:tr>
      <w:tr w:rsidR="00E61AB6" w:rsidRPr="00A27E99" w14:paraId="5451591B" w14:textId="77777777" w:rsidTr="00D51340">
        <w:tc>
          <w:tcPr>
            <w:cnfStyle w:val="001000000000" w:firstRow="0" w:lastRow="0" w:firstColumn="1" w:lastColumn="0" w:oddVBand="0" w:evenVBand="0" w:oddHBand="0" w:evenHBand="0" w:firstRowFirstColumn="0" w:firstRowLastColumn="0" w:lastRowFirstColumn="0" w:lastRowLastColumn="0"/>
            <w:tcW w:w="641" w:type="pct"/>
            <w:vMerge/>
          </w:tcPr>
          <w:p w14:paraId="29D18BC8" w14:textId="77777777" w:rsidR="00E61AB6" w:rsidRPr="0004778F" w:rsidRDefault="00E61AB6" w:rsidP="00D51340">
            <w:pPr>
              <w:keepNext/>
              <w:keepLines/>
              <w:spacing w:before="60" w:after="60"/>
              <w:rPr>
                <w:iCs/>
                <w:sz w:val="18"/>
                <w:szCs w:val="18"/>
              </w:rPr>
            </w:pPr>
          </w:p>
        </w:tc>
        <w:tc>
          <w:tcPr>
            <w:tcW w:w="792" w:type="pct"/>
            <w:vMerge/>
          </w:tcPr>
          <w:p w14:paraId="66EC4787" w14:textId="77777777" w:rsidR="00E61AB6" w:rsidRPr="0004778F" w:rsidRDefault="00E61AB6" w:rsidP="00D51340">
            <w:pPr>
              <w:keepNext/>
              <w:keepLine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p>
        </w:tc>
        <w:tc>
          <w:tcPr>
            <w:tcW w:w="1632" w:type="pct"/>
          </w:tcPr>
          <w:p w14:paraId="1180F803" w14:textId="77777777" w:rsidR="00E61AB6" w:rsidRPr="0004778F" w:rsidRDefault="00E61AB6" w:rsidP="00D51340">
            <w:pPr>
              <w:keepNext/>
              <w:keepLine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Fruit and vegetable nectars (clear)</w:t>
            </w:r>
          </w:p>
        </w:tc>
        <w:tc>
          <w:tcPr>
            <w:tcW w:w="324" w:type="pct"/>
          </w:tcPr>
          <w:p w14:paraId="1BB74922" w14:textId="77777777" w:rsidR="00E61AB6" w:rsidRPr="0004778F" w:rsidRDefault="00E61AB6" w:rsidP="00D51340">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14.1.2.1</w:t>
            </w:r>
          </w:p>
        </w:tc>
        <w:tc>
          <w:tcPr>
            <w:tcW w:w="537" w:type="pct"/>
          </w:tcPr>
          <w:p w14:paraId="617D601C"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100</w:t>
            </w:r>
          </w:p>
        </w:tc>
        <w:tc>
          <w:tcPr>
            <w:tcW w:w="537" w:type="pct"/>
          </w:tcPr>
          <w:p w14:paraId="21DD0C4F"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20</w:t>
            </w:r>
          </w:p>
        </w:tc>
        <w:tc>
          <w:tcPr>
            <w:tcW w:w="537" w:type="pct"/>
          </w:tcPr>
          <w:p w14:paraId="382DE906"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04778F">
              <w:rPr>
                <w:sz w:val="18"/>
                <w:szCs w:val="18"/>
              </w:rPr>
              <w:t>4</w:t>
            </w:r>
          </w:p>
        </w:tc>
      </w:tr>
      <w:tr w:rsidR="00E61AB6" w:rsidRPr="00A27E99" w14:paraId="3A81CAB7" w14:textId="77777777" w:rsidTr="00D51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vMerge/>
          </w:tcPr>
          <w:p w14:paraId="4FD4370D" w14:textId="77777777" w:rsidR="00E61AB6" w:rsidRPr="0004778F" w:rsidRDefault="00E61AB6" w:rsidP="00D51340">
            <w:pPr>
              <w:keepNext/>
              <w:keepLines/>
              <w:spacing w:before="60" w:after="60"/>
              <w:rPr>
                <w:iCs/>
                <w:sz w:val="18"/>
                <w:szCs w:val="18"/>
              </w:rPr>
            </w:pPr>
          </w:p>
        </w:tc>
        <w:tc>
          <w:tcPr>
            <w:tcW w:w="792" w:type="pct"/>
            <w:vMerge/>
          </w:tcPr>
          <w:p w14:paraId="1B50CA30" w14:textId="77777777" w:rsidR="00E61AB6" w:rsidRPr="0004778F" w:rsidRDefault="00E61AB6" w:rsidP="00D51340">
            <w:pPr>
              <w:keepNext/>
              <w:keepLine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p>
        </w:tc>
        <w:tc>
          <w:tcPr>
            <w:tcW w:w="1632" w:type="pct"/>
          </w:tcPr>
          <w:p w14:paraId="05694C76" w14:textId="77777777" w:rsidR="00E61AB6" w:rsidRPr="0004778F" w:rsidRDefault="00E61AB6" w:rsidP="00D51340">
            <w:pPr>
              <w:keepNext/>
              <w:keepLine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Fruit and vegetable juices (turbid)</w:t>
            </w:r>
          </w:p>
        </w:tc>
        <w:tc>
          <w:tcPr>
            <w:tcW w:w="324" w:type="pct"/>
          </w:tcPr>
          <w:p w14:paraId="33A7071C" w14:textId="77777777" w:rsidR="00E61AB6" w:rsidRPr="0004778F" w:rsidRDefault="00E61AB6" w:rsidP="00D51340">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14.1.2.1</w:t>
            </w:r>
          </w:p>
        </w:tc>
        <w:tc>
          <w:tcPr>
            <w:tcW w:w="537" w:type="pct"/>
          </w:tcPr>
          <w:p w14:paraId="29C89883"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100</w:t>
            </w:r>
          </w:p>
        </w:tc>
        <w:tc>
          <w:tcPr>
            <w:tcW w:w="537" w:type="pct"/>
          </w:tcPr>
          <w:p w14:paraId="0F8F9D2E"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100</w:t>
            </w:r>
          </w:p>
        </w:tc>
        <w:tc>
          <w:tcPr>
            <w:tcW w:w="537" w:type="pct"/>
          </w:tcPr>
          <w:p w14:paraId="138D9B0C"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sz w:val="18"/>
                <w:szCs w:val="18"/>
              </w:rPr>
            </w:pPr>
            <w:r w:rsidRPr="0004778F">
              <w:rPr>
                <w:sz w:val="18"/>
                <w:szCs w:val="18"/>
              </w:rPr>
              <w:t>55</w:t>
            </w:r>
          </w:p>
        </w:tc>
      </w:tr>
      <w:tr w:rsidR="00E61AB6" w:rsidRPr="00A27E99" w14:paraId="56A30A21" w14:textId="77777777" w:rsidTr="00D51340">
        <w:tc>
          <w:tcPr>
            <w:cnfStyle w:val="001000000000" w:firstRow="0" w:lastRow="0" w:firstColumn="1" w:lastColumn="0" w:oddVBand="0" w:evenVBand="0" w:oddHBand="0" w:evenHBand="0" w:firstRowFirstColumn="0" w:firstRowLastColumn="0" w:lastRowFirstColumn="0" w:lastRowLastColumn="0"/>
            <w:tcW w:w="641" w:type="pct"/>
            <w:vMerge/>
          </w:tcPr>
          <w:p w14:paraId="204AA087" w14:textId="77777777" w:rsidR="00E61AB6" w:rsidRPr="0004778F" w:rsidRDefault="00E61AB6" w:rsidP="00D51340">
            <w:pPr>
              <w:keepNext/>
              <w:keepLines/>
              <w:spacing w:before="60" w:after="60"/>
              <w:rPr>
                <w:iCs/>
                <w:sz w:val="18"/>
                <w:szCs w:val="18"/>
              </w:rPr>
            </w:pPr>
          </w:p>
        </w:tc>
        <w:tc>
          <w:tcPr>
            <w:tcW w:w="792" w:type="pct"/>
            <w:vMerge/>
          </w:tcPr>
          <w:p w14:paraId="69FD30E9" w14:textId="77777777" w:rsidR="00E61AB6" w:rsidRPr="0004778F" w:rsidRDefault="00E61AB6" w:rsidP="00D51340">
            <w:pPr>
              <w:keepNext/>
              <w:keepLine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p>
        </w:tc>
        <w:tc>
          <w:tcPr>
            <w:tcW w:w="1632" w:type="pct"/>
          </w:tcPr>
          <w:p w14:paraId="314A3AA1" w14:textId="77777777" w:rsidR="00E61AB6" w:rsidRPr="0004778F" w:rsidRDefault="00E61AB6" w:rsidP="00D51340">
            <w:pPr>
              <w:keepNext/>
              <w:keepLine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Fruit and vegetable juices products (carbonated drinks with &gt;7% juice)</w:t>
            </w:r>
          </w:p>
        </w:tc>
        <w:tc>
          <w:tcPr>
            <w:tcW w:w="324" w:type="pct"/>
          </w:tcPr>
          <w:p w14:paraId="07B8001E" w14:textId="77777777" w:rsidR="00E61AB6" w:rsidRPr="0004778F" w:rsidRDefault="00E61AB6" w:rsidP="00D51340">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14.1.2.2</w:t>
            </w:r>
          </w:p>
        </w:tc>
        <w:tc>
          <w:tcPr>
            <w:tcW w:w="537" w:type="pct"/>
          </w:tcPr>
          <w:p w14:paraId="38E93945"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100</w:t>
            </w:r>
          </w:p>
        </w:tc>
        <w:tc>
          <w:tcPr>
            <w:tcW w:w="537" w:type="pct"/>
          </w:tcPr>
          <w:p w14:paraId="6646D2A6"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50</w:t>
            </w:r>
          </w:p>
        </w:tc>
        <w:tc>
          <w:tcPr>
            <w:tcW w:w="537" w:type="pct"/>
          </w:tcPr>
          <w:p w14:paraId="460C0831"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04778F">
              <w:rPr>
                <w:sz w:val="18"/>
                <w:szCs w:val="18"/>
              </w:rPr>
              <w:t>15</w:t>
            </w:r>
          </w:p>
        </w:tc>
      </w:tr>
      <w:tr w:rsidR="00E61AB6" w:rsidRPr="00A27E99" w14:paraId="21C74BC9" w14:textId="77777777" w:rsidTr="00D51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vMerge/>
          </w:tcPr>
          <w:p w14:paraId="47C87505" w14:textId="77777777" w:rsidR="00E61AB6" w:rsidRPr="0004778F" w:rsidRDefault="00E61AB6" w:rsidP="00D51340">
            <w:pPr>
              <w:keepNext/>
              <w:keepLines/>
              <w:spacing w:before="60" w:after="60"/>
              <w:rPr>
                <w:iCs/>
                <w:sz w:val="18"/>
                <w:szCs w:val="18"/>
              </w:rPr>
            </w:pPr>
          </w:p>
        </w:tc>
        <w:tc>
          <w:tcPr>
            <w:tcW w:w="792" w:type="pct"/>
            <w:vMerge/>
          </w:tcPr>
          <w:p w14:paraId="703E2345" w14:textId="77777777" w:rsidR="00E61AB6" w:rsidRPr="0004778F" w:rsidRDefault="00E61AB6" w:rsidP="00D51340">
            <w:pPr>
              <w:keepNext/>
              <w:keepLine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p>
        </w:tc>
        <w:tc>
          <w:tcPr>
            <w:tcW w:w="1632" w:type="pct"/>
          </w:tcPr>
          <w:p w14:paraId="1ADC01D5" w14:textId="77777777" w:rsidR="00E61AB6" w:rsidRPr="0004778F" w:rsidRDefault="00E61AB6" w:rsidP="00D51340">
            <w:pPr>
              <w:keepNext/>
              <w:keepLine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Fruit and vegetable juices products (non-carbonated drinks with &gt;7% juice)</w:t>
            </w:r>
          </w:p>
        </w:tc>
        <w:tc>
          <w:tcPr>
            <w:tcW w:w="324" w:type="pct"/>
          </w:tcPr>
          <w:p w14:paraId="053F1449" w14:textId="77777777" w:rsidR="00E61AB6" w:rsidRPr="0004778F" w:rsidRDefault="00E61AB6" w:rsidP="00D51340">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14.1.2.2</w:t>
            </w:r>
          </w:p>
        </w:tc>
        <w:tc>
          <w:tcPr>
            <w:tcW w:w="537" w:type="pct"/>
          </w:tcPr>
          <w:p w14:paraId="5FF9E812"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100</w:t>
            </w:r>
          </w:p>
        </w:tc>
        <w:tc>
          <w:tcPr>
            <w:tcW w:w="537" w:type="pct"/>
          </w:tcPr>
          <w:p w14:paraId="1148D32F"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50</w:t>
            </w:r>
          </w:p>
        </w:tc>
        <w:tc>
          <w:tcPr>
            <w:tcW w:w="537" w:type="pct"/>
          </w:tcPr>
          <w:p w14:paraId="31DA60FB"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sz w:val="18"/>
                <w:szCs w:val="18"/>
              </w:rPr>
            </w:pPr>
            <w:r w:rsidRPr="0004778F">
              <w:rPr>
                <w:sz w:val="18"/>
                <w:szCs w:val="18"/>
              </w:rPr>
              <w:t>15</w:t>
            </w:r>
          </w:p>
        </w:tc>
      </w:tr>
      <w:tr w:rsidR="00E61AB6" w:rsidRPr="00A27E99" w14:paraId="3E10D795" w14:textId="77777777" w:rsidTr="00D51340">
        <w:tc>
          <w:tcPr>
            <w:cnfStyle w:val="001000000000" w:firstRow="0" w:lastRow="0" w:firstColumn="1" w:lastColumn="0" w:oddVBand="0" w:evenVBand="0" w:oddHBand="0" w:evenHBand="0" w:firstRowFirstColumn="0" w:firstRowLastColumn="0" w:lastRowFirstColumn="0" w:lastRowLastColumn="0"/>
            <w:tcW w:w="641" w:type="pct"/>
            <w:vMerge w:val="restart"/>
          </w:tcPr>
          <w:p w14:paraId="75B3263F" w14:textId="77777777" w:rsidR="00E61AB6" w:rsidRPr="0004778F" w:rsidRDefault="00E61AB6" w:rsidP="00D51340">
            <w:pPr>
              <w:keepNext/>
              <w:keepLines/>
              <w:spacing w:before="60" w:after="60"/>
              <w:rPr>
                <w:iCs/>
                <w:sz w:val="18"/>
                <w:szCs w:val="18"/>
              </w:rPr>
            </w:pPr>
            <w:r w:rsidRPr="0004778F">
              <w:rPr>
                <w:iCs/>
                <w:sz w:val="18"/>
                <w:szCs w:val="18"/>
              </w:rPr>
              <w:t>14.1.3</w:t>
            </w:r>
          </w:p>
        </w:tc>
        <w:tc>
          <w:tcPr>
            <w:tcW w:w="792" w:type="pct"/>
            <w:vMerge w:val="restart"/>
          </w:tcPr>
          <w:p w14:paraId="74CF42FB" w14:textId="77777777" w:rsidR="00E61AB6" w:rsidRPr="0004778F" w:rsidRDefault="00E61AB6" w:rsidP="00D51340">
            <w:pPr>
              <w:keepNext/>
              <w:keepLine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Water based flavoured drinks</w:t>
            </w:r>
          </w:p>
        </w:tc>
        <w:tc>
          <w:tcPr>
            <w:tcW w:w="1632" w:type="pct"/>
          </w:tcPr>
          <w:p w14:paraId="4E49A060" w14:textId="77777777" w:rsidR="00E61AB6" w:rsidRPr="0004778F" w:rsidRDefault="00E61AB6" w:rsidP="00D51340">
            <w:pPr>
              <w:keepNext/>
              <w:keepLine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Carbonated soft drinks, sports drinks and electrolyte drinks, Formulated caffeinated beverages.</w:t>
            </w:r>
          </w:p>
        </w:tc>
        <w:tc>
          <w:tcPr>
            <w:tcW w:w="324" w:type="pct"/>
          </w:tcPr>
          <w:p w14:paraId="799A7330" w14:textId="77777777" w:rsidR="00E61AB6" w:rsidRPr="0004778F" w:rsidRDefault="00E61AB6" w:rsidP="00D51340">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14.1.3</w:t>
            </w:r>
          </w:p>
        </w:tc>
        <w:tc>
          <w:tcPr>
            <w:tcW w:w="537" w:type="pct"/>
          </w:tcPr>
          <w:p w14:paraId="3542035B"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50</w:t>
            </w:r>
          </w:p>
        </w:tc>
        <w:tc>
          <w:tcPr>
            <w:tcW w:w="537" w:type="pct"/>
          </w:tcPr>
          <w:p w14:paraId="40878AE8"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20</w:t>
            </w:r>
          </w:p>
        </w:tc>
        <w:tc>
          <w:tcPr>
            <w:tcW w:w="537" w:type="pct"/>
          </w:tcPr>
          <w:p w14:paraId="2AE8BFBF"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5</w:t>
            </w:r>
          </w:p>
        </w:tc>
      </w:tr>
      <w:tr w:rsidR="00E61AB6" w:rsidRPr="00A27E99" w14:paraId="60208D6F" w14:textId="77777777" w:rsidTr="00D51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vMerge/>
          </w:tcPr>
          <w:p w14:paraId="272B36C3" w14:textId="77777777" w:rsidR="00E61AB6" w:rsidRPr="0004778F" w:rsidRDefault="00E61AB6" w:rsidP="00D51340">
            <w:pPr>
              <w:keepNext/>
              <w:keepLines/>
              <w:spacing w:before="60" w:after="60"/>
              <w:rPr>
                <w:iCs/>
                <w:sz w:val="18"/>
                <w:szCs w:val="18"/>
              </w:rPr>
            </w:pPr>
          </w:p>
        </w:tc>
        <w:tc>
          <w:tcPr>
            <w:tcW w:w="792" w:type="pct"/>
            <w:vMerge/>
          </w:tcPr>
          <w:p w14:paraId="3FE0A331" w14:textId="77777777" w:rsidR="00E61AB6" w:rsidRPr="0004778F" w:rsidRDefault="00E61AB6" w:rsidP="00D51340">
            <w:pPr>
              <w:keepNext/>
              <w:keepLine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p>
        </w:tc>
        <w:tc>
          <w:tcPr>
            <w:tcW w:w="1632" w:type="pct"/>
          </w:tcPr>
          <w:p w14:paraId="27E16C2A" w14:textId="77777777" w:rsidR="00E61AB6" w:rsidRPr="0004778F" w:rsidRDefault="00E61AB6" w:rsidP="00D51340">
            <w:pPr>
              <w:keepNext/>
              <w:keepLine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Non-carbonated soft drinks, sport drinks and electrolyte drinks, Formulated caffeinated beverages.</w:t>
            </w:r>
          </w:p>
        </w:tc>
        <w:tc>
          <w:tcPr>
            <w:tcW w:w="324" w:type="pct"/>
          </w:tcPr>
          <w:p w14:paraId="0DFF472D" w14:textId="77777777" w:rsidR="00E61AB6" w:rsidRPr="0004778F" w:rsidRDefault="00E61AB6" w:rsidP="00D51340">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14.1.3</w:t>
            </w:r>
          </w:p>
        </w:tc>
        <w:tc>
          <w:tcPr>
            <w:tcW w:w="537" w:type="pct"/>
          </w:tcPr>
          <w:p w14:paraId="155A3A81"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50</w:t>
            </w:r>
          </w:p>
        </w:tc>
        <w:tc>
          <w:tcPr>
            <w:tcW w:w="537" w:type="pct"/>
          </w:tcPr>
          <w:p w14:paraId="41832055"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20</w:t>
            </w:r>
          </w:p>
        </w:tc>
        <w:tc>
          <w:tcPr>
            <w:tcW w:w="537" w:type="pct"/>
          </w:tcPr>
          <w:p w14:paraId="5E7C42EE"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5</w:t>
            </w:r>
          </w:p>
        </w:tc>
      </w:tr>
      <w:tr w:rsidR="00E61AB6" w:rsidRPr="00A27E99" w14:paraId="421D7E03" w14:textId="77777777" w:rsidTr="00D51340">
        <w:tc>
          <w:tcPr>
            <w:cnfStyle w:val="001000000000" w:firstRow="0" w:lastRow="0" w:firstColumn="1" w:lastColumn="0" w:oddVBand="0" w:evenVBand="0" w:oddHBand="0" w:evenHBand="0" w:firstRowFirstColumn="0" w:firstRowLastColumn="0" w:lastRowFirstColumn="0" w:lastRowLastColumn="0"/>
            <w:tcW w:w="641" w:type="pct"/>
            <w:vMerge/>
          </w:tcPr>
          <w:p w14:paraId="5BDEC785" w14:textId="77777777" w:rsidR="00E61AB6" w:rsidRPr="0004778F" w:rsidRDefault="00E61AB6" w:rsidP="00D51340">
            <w:pPr>
              <w:keepNext/>
              <w:keepLines/>
              <w:spacing w:before="60" w:after="60"/>
              <w:rPr>
                <w:iCs/>
                <w:sz w:val="18"/>
                <w:szCs w:val="18"/>
              </w:rPr>
            </w:pPr>
          </w:p>
        </w:tc>
        <w:tc>
          <w:tcPr>
            <w:tcW w:w="792" w:type="pct"/>
            <w:vMerge/>
          </w:tcPr>
          <w:p w14:paraId="0C991E40" w14:textId="77777777" w:rsidR="00E61AB6" w:rsidRPr="0004778F" w:rsidRDefault="00E61AB6" w:rsidP="00D51340">
            <w:pPr>
              <w:keepNext/>
              <w:keepLine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p>
        </w:tc>
        <w:tc>
          <w:tcPr>
            <w:tcW w:w="1632" w:type="pct"/>
          </w:tcPr>
          <w:p w14:paraId="692A2410" w14:textId="77777777" w:rsidR="00E61AB6" w:rsidRPr="0004778F" w:rsidRDefault="00E61AB6" w:rsidP="00D51340">
            <w:pPr>
              <w:keepNext/>
              <w:keepLine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Carbonated fruit juice drinks</w:t>
            </w:r>
          </w:p>
        </w:tc>
        <w:tc>
          <w:tcPr>
            <w:tcW w:w="324" w:type="pct"/>
          </w:tcPr>
          <w:p w14:paraId="10B6571A" w14:textId="77777777" w:rsidR="00E61AB6" w:rsidRPr="0004778F" w:rsidRDefault="00E61AB6" w:rsidP="00D51340">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14.1.3</w:t>
            </w:r>
          </w:p>
        </w:tc>
        <w:tc>
          <w:tcPr>
            <w:tcW w:w="537" w:type="pct"/>
          </w:tcPr>
          <w:p w14:paraId="3E383964"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50</w:t>
            </w:r>
          </w:p>
        </w:tc>
        <w:tc>
          <w:tcPr>
            <w:tcW w:w="537" w:type="pct"/>
          </w:tcPr>
          <w:p w14:paraId="0DFE8CF8"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50</w:t>
            </w:r>
          </w:p>
        </w:tc>
        <w:tc>
          <w:tcPr>
            <w:tcW w:w="537" w:type="pct"/>
          </w:tcPr>
          <w:p w14:paraId="7972BF30"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15</w:t>
            </w:r>
          </w:p>
        </w:tc>
      </w:tr>
      <w:tr w:rsidR="00E61AB6" w:rsidRPr="00A27E99" w14:paraId="37E9EAAD" w14:textId="77777777" w:rsidTr="00D51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vMerge/>
          </w:tcPr>
          <w:p w14:paraId="00781063" w14:textId="77777777" w:rsidR="00E61AB6" w:rsidRPr="0004778F" w:rsidRDefault="00E61AB6" w:rsidP="00D51340">
            <w:pPr>
              <w:keepNext/>
              <w:keepLines/>
              <w:spacing w:before="60" w:after="60"/>
              <w:rPr>
                <w:iCs/>
                <w:sz w:val="18"/>
                <w:szCs w:val="18"/>
              </w:rPr>
            </w:pPr>
          </w:p>
        </w:tc>
        <w:tc>
          <w:tcPr>
            <w:tcW w:w="792" w:type="pct"/>
            <w:vMerge/>
          </w:tcPr>
          <w:p w14:paraId="19194A88" w14:textId="77777777" w:rsidR="00E61AB6" w:rsidRPr="0004778F" w:rsidRDefault="00E61AB6" w:rsidP="00D51340">
            <w:pPr>
              <w:keepNext/>
              <w:keepLine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p>
        </w:tc>
        <w:tc>
          <w:tcPr>
            <w:tcW w:w="1632" w:type="pct"/>
          </w:tcPr>
          <w:p w14:paraId="7A4D0F75" w14:textId="77777777" w:rsidR="00E61AB6" w:rsidRPr="0004778F" w:rsidRDefault="00E61AB6" w:rsidP="00D51340">
            <w:pPr>
              <w:keepNext/>
              <w:keepLine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Non-carbonated fruit juice drinks</w:t>
            </w:r>
          </w:p>
        </w:tc>
        <w:tc>
          <w:tcPr>
            <w:tcW w:w="324" w:type="pct"/>
          </w:tcPr>
          <w:p w14:paraId="7956EEDA" w14:textId="77777777" w:rsidR="00E61AB6" w:rsidRPr="0004778F" w:rsidRDefault="00E61AB6" w:rsidP="00D51340">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14.1.3</w:t>
            </w:r>
          </w:p>
        </w:tc>
        <w:tc>
          <w:tcPr>
            <w:tcW w:w="537" w:type="pct"/>
          </w:tcPr>
          <w:p w14:paraId="171626A5"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50</w:t>
            </w:r>
          </w:p>
        </w:tc>
        <w:tc>
          <w:tcPr>
            <w:tcW w:w="537" w:type="pct"/>
          </w:tcPr>
          <w:p w14:paraId="47D54EC0"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50</w:t>
            </w:r>
          </w:p>
        </w:tc>
        <w:tc>
          <w:tcPr>
            <w:tcW w:w="537" w:type="pct"/>
          </w:tcPr>
          <w:p w14:paraId="5D3AE82D"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15</w:t>
            </w:r>
          </w:p>
        </w:tc>
      </w:tr>
      <w:tr w:rsidR="00E61AB6" w:rsidRPr="00A27E99" w14:paraId="04133E84" w14:textId="77777777" w:rsidTr="00D51340">
        <w:tc>
          <w:tcPr>
            <w:cnfStyle w:val="001000000000" w:firstRow="0" w:lastRow="0" w:firstColumn="1" w:lastColumn="0" w:oddVBand="0" w:evenVBand="0" w:oddHBand="0" w:evenHBand="0" w:firstRowFirstColumn="0" w:firstRowLastColumn="0" w:lastRowFirstColumn="0" w:lastRowLastColumn="0"/>
            <w:tcW w:w="641" w:type="pct"/>
            <w:vMerge/>
          </w:tcPr>
          <w:p w14:paraId="23DCD101" w14:textId="77777777" w:rsidR="00E61AB6" w:rsidRPr="0004778F" w:rsidRDefault="00E61AB6" w:rsidP="00D51340">
            <w:pPr>
              <w:keepNext/>
              <w:keepLines/>
              <w:spacing w:before="60" w:after="60"/>
              <w:rPr>
                <w:iCs/>
                <w:sz w:val="18"/>
                <w:szCs w:val="18"/>
              </w:rPr>
            </w:pPr>
          </w:p>
        </w:tc>
        <w:tc>
          <w:tcPr>
            <w:tcW w:w="792" w:type="pct"/>
            <w:vMerge/>
          </w:tcPr>
          <w:p w14:paraId="694AEB41" w14:textId="77777777" w:rsidR="00E61AB6" w:rsidRPr="0004778F" w:rsidRDefault="00E61AB6" w:rsidP="00D51340">
            <w:pPr>
              <w:keepNext/>
              <w:keepLine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p>
        </w:tc>
        <w:tc>
          <w:tcPr>
            <w:tcW w:w="1632" w:type="pct"/>
          </w:tcPr>
          <w:p w14:paraId="7A2FF8EC" w14:textId="77777777" w:rsidR="00E61AB6" w:rsidRPr="0004778F" w:rsidRDefault="00E61AB6" w:rsidP="00D51340">
            <w:pPr>
              <w:keepNext/>
              <w:keepLine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 xml:space="preserve">Cordials and concentrates (liquid </w:t>
            </w:r>
            <w:r>
              <w:rPr>
                <w:iCs/>
                <w:sz w:val="18"/>
                <w:szCs w:val="18"/>
              </w:rPr>
              <w:t>and</w:t>
            </w:r>
            <w:r w:rsidRPr="0004778F">
              <w:rPr>
                <w:iCs/>
                <w:sz w:val="18"/>
                <w:szCs w:val="18"/>
              </w:rPr>
              <w:t xml:space="preserve"> solid) for water based flavoured drinks</w:t>
            </w:r>
          </w:p>
        </w:tc>
        <w:tc>
          <w:tcPr>
            <w:tcW w:w="324" w:type="pct"/>
          </w:tcPr>
          <w:p w14:paraId="1D6D6D8C" w14:textId="77777777" w:rsidR="00E61AB6" w:rsidRPr="0004778F" w:rsidRDefault="00E61AB6" w:rsidP="00D51340">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14.1.3</w:t>
            </w:r>
          </w:p>
        </w:tc>
        <w:tc>
          <w:tcPr>
            <w:tcW w:w="537" w:type="pct"/>
          </w:tcPr>
          <w:p w14:paraId="0A10586C"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50</w:t>
            </w:r>
          </w:p>
        </w:tc>
        <w:tc>
          <w:tcPr>
            <w:tcW w:w="537" w:type="pct"/>
          </w:tcPr>
          <w:p w14:paraId="301CE26E"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20</w:t>
            </w:r>
          </w:p>
        </w:tc>
        <w:tc>
          <w:tcPr>
            <w:tcW w:w="537" w:type="pct"/>
          </w:tcPr>
          <w:p w14:paraId="5F275C78"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5</w:t>
            </w:r>
          </w:p>
        </w:tc>
      </w:tr>
      <w:tr w:rsidR="00E61AB6" w:rsidRPr="00A27E99" w14:paraId="2BC6C215" w14:textId="77777777" w:rsidTr="00D51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vMerge/>
          </w:tcPr>
          <w:p w14:paraId="7151F609" w14:textId="77777777" w:rsidR="00E61AB6" w:rsidRPr="0004778F" w:rsidRDefault="00E61AB6" w:rsidP="00D51340">
            <w:pPr>
              <w:keepNext/>
              <w:keepLines/>
              <w:spacing w:before="60" w:after="60"/>
              <w:rPr>
                <w:iCs/>
                <w:sz w:val="18"/>
                <w:szCs w:val="18"/>
              </w:rPr>
            </w:pPr>
          </w:p>
        </w:tc>
        <w:tc>
          <w:tcPr>
            <w:tcW w:w="792" w:type="pct"/>
            <w:vMerge/>
          </w:tcPr>
          <w:p w14:paraId="7058BE4A" w14:textId="77777777" w:rsidR="00E61AB6" w:rsidRPr="0004778F" w:rsidRDefault="00E61AB6" w:rsidP="00D51340">
            <w:pPr>
              <w:keepNext/>
              <w:keepLine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p>
        </w:tc>
        <w:tc>
          <w:tcPr>
            <w:tcW w:w="1632" w:type="pct"/>
          </w:tcPr>
          <w:p w14:paraId="17890303" w14:textId="77777777" w:rsidR="00E61AB6" w:rsidRPr="0004778F" w:rsidRDefault="00E61AB6" w:rsidP="00D51340">
            <w:pPr>
              <w:keepNext/>
              <w:keepLine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Brewed soft drink</w:t>
            </w:r>
          </w:p>
        </w:tc>
        <w:tc>
          <w:tcPr>
            <w:tcW w:w="324" w:type="pct"/>
          </w:tcPr>
          <w:p w14:paraId="7E4553BE" w14:textId="77777777" w:rsidR="00E61AB6" w:rsidRPr="0004778F" w:rsidRDefault="00E61AB6" w:rsidP="00D51340">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14.1.3.1</w:t>
            </w:r>
          </w:p>
        </w:tc>
        <w:tc>
          <w:tcPr>
            <w:tcW w:w="537" w:type="pct"/>
          </w:tcPr>
          <w:p w14:paraId="44AA8F11"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50</w:t>
            </w:r>
          </w:p>
        </w:tc>
        <w:tc>
          <w:tcPr>
            <w:tcW w:w="537" w:type="pct"/>
          </w:tcPr>
          <w:p w14:paraId="5E3F6082"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30</w:t>
            </w:r>
          </w:p>
        </w:tc>
        <w:tc>
          <w:tcPr>
            <w:tcW w:w="537" w:type="pct"/>
          </w:tcPr>
          <w:p w14:paraId="40663331"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7</w:t>
            </w:r>
          </w:p>
        </w:tc>
      </w:tr>
      <w:tr w:rsidR="00E61AB6" w:rsidRPr="00A27E99" w14:paraId="1F6EA460" w14:textId="77777777" w:rsidTr="00D51340">
        <w:tc>
          <w:tcPr>
            <w:cnfStyle w:val="001000000000" w:firstRow="0" w:lastRow="0" w:firstColumn="1" w:lastColumn="0" w:oddVBand="0" w:evenVBand="0" w:oddHBand="0" w:evenHBand="0" w:firstRowFirstColumn="0" w:firstRowLastColumn="0" w:lastRowFirstColumn="0" w:lastRowLastColumn="0"/>
            <w:tcW w:w="641" w:type="pct"/>
          </w:tcPr>
          <w:p w14:paraId="03106CF5" w14:textId="77777777" w:rsidR="00E61AB6" w:rsidRPr="0004778F" w:rsidRDefault="00E61AB6" w:rsidP="00D51340">
            <w:pPr>
              <w:keepNext/>
              <w:keepLines/>
              <w:spacing w:before="60" w:after="60"/>
              <w:rPr>
                <w:iCs/>
                <w:sz w:val="18"/>
                <w:szCs w:val="18"/>
              </w:rPr>
            </w:pPr>
            <w:r w:rsidRPr="0004778F">
              <w:rPr>
                <w:iCs/>
                <w:sz w:val="18"/>
                <w:szCs w:val="18"/>
              </w:rPr>
              <w:t>14.1.4</w:t>
            </w:r>
          </w:p>
        </w:tc>
        <w:tc>
          <w:tcPr>
            <w:tcW w:w="792" w:type="pct"/>
          </w:tcPr>
          <w:p w14:paraId="2830B7DD" w14:textId="77777777" w:rsidR="00E61AB6" w:rsidRPr="0004778F" w:rsidRDefault="00E61AB6" w:rsidP="00D51340">
            <w:pPr>
              <w:keepNext/>
              <w:keepLine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Formulated Beverages</w:t>
            </w:r>
          </w:p>
        </w:tc>
        <w:tc>
          <w:tcPr>
            <w:tcW w:w="1632" w:type="pct"/>
          </w:tcPr>
          <w:p w14:paraId="700A705A" w14:textId="77777777" w:rsidR="00E61AB6" w:rsidRPr="0004778F" w:rsidRDefault="00E61AB6" w:rsidP="00D51340">
            <w:pPr>
              <w:keepNext/>
              <w:keepLine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Formulated Beverages</w:t>
            </w:r>
          </w:p>
        </w:tc>
        <w:tc>
          <w:tcPr>
            <w:tcW w:w="324" w:type="pct"/>
          </w:tcPr>
          <w:p w14:paraId="5B852015" w14:textId="77777777" w:rsidR="00E61AB6" w:rsidRPr="0004778F" w:rsidRDefault="00E61AB6" w:rsidP="00D51340">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14.1.4</w:t>
            </w:r>
          </w:p>
        </w:tc>
        <w:tc>
          <w:tcPr>
            <w:tcW w:w="537" w:type="pct"/>
          </w:tcPr>
          <w:p w14:paraId="1D2CBB58"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20</w:t>
            </w:r>
          </w:p>
        </w:tc>
        <w:tc>
          <w:tcPr>
            <w:tcW w:w="537" w:type="pct"/>
          </w:tcPr>
          <w:p w14:paraId="581BE028"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20</w:t>
            </w:r>
          </w:p>
        </w:tc>
        <w:tc>
          <w:tcPr>
            <w:tcW w:w="537" w:type="pct"/>
          </w:tcPr>
          <w:p w14:paraId="4073396B"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5</w:t>
            </w:r>
          </w:p>
        </w:tc>
      </w:tr>
      <w:tr w:rsidR="00E61AB6" w:rsidRPr="00A27E99" w14:paraId="70FFF787" w14:textId="77777777" w:rsidTr="00D51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14:paraId="72A4BCEE" w14:textId="77777777" w:rsidR="00E61AB6" w:rsidRPr="0004778F" w:rsidRDefault="00E61AB6" w:rsidP="00D51340">
            <w:pPr>
              <w:keepNext/>
              <w:keepLines/>
              <w:spacing w:before="60" w:after="60"/>
              <w:rPr>
                <w:iCs/>
                <w:sz w:val="18"/>
                <w:szCs w:val="18"/>
              </w:rPr>
            </w:pPr>
            <w:r w:rsidRPr="0004778F">
              <w:rPr>
                <w:iCs/>
                <w:sz w:val="18"/>
                <w:szCs w:val="18"/>
              </w:rPr>
              <w:t>14.1.5</w:t>
            </w:r>
          </w:p>
        </w:tc>
        <w:tc>
          <w:tcPr>
            <w:tcW w:w="792" w:type="pct"/>
          </w:tcPr>
          <w:p w14:paraId="34F0F04C" w14:textId="77777777" w:rsidR="00E61AB6" w:rsidRPr="0004778F" w:rsidRDefault="00E61AB6" w:rsidP="00D51340">
            <w:pPr>
              <w:keepNext/>
              <w:keepLine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Coffee, coffee substitutes, tea, herbal infusions and similar products</w:t>
            </w:r>
          </w:p>
        </w:tc>
        <w:tc>
          <w:tcPr>
            <w:tcW w:w="1632" w:type="pct"/>
          </w:tcPr>
          <w:p w14:paraId="1A3F5493" w14:textId="77777777" w:rsidR="00E61AB6" w:rsidRPr="0004778F" w:rsidRDefault="00E61AB6" w:rsidP="00D51340">
            <w:pPr>
              <w:keepNext/>
              <w:keepLine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Non-carbonated ready to drink teas</w:t>
            </w:r>
          </w:p>
        </w:tc>
        <w:tc>
          <w:tcPr>
            <w:tcW w:w="324" w:type="pct"/>
          </w:tcPr>
          <w:p w14:paraId="0A9C5164" w14:textId="77777777" w:rsidR="00E61AB6" w:rsidRPr="0004778F" w:rsidRDefault="00E61AB6" w:rsidP="00D51340">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14.1.5</w:t>
            </w:r>
          </w:p>
        </w:tc>
        <w:tc>
          <w:tcPr>
            <w:tcW w:w="537" w:type="pct"/>
          </w:tcPr>
          <w:p w14:paraId="29EB0F78"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10</w:t>
            </w:r>
          </w:p>
        </w:tc>
        <w:tc>
          <w:tcPr>
            <w:tcW w:w="537" w:type="pct"/>
          </w:tcPr>
          <w:p w14:paraId="39BD3387"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20</w:t>
            </w:r>
          </w:p>
        </w:tc>
        <w:tc>
          <w:tcPr>
            <w:tcW w:w="537" w:type="pct"/>
          </w:tcPr>
          <w:p w14:paraId="2A6EA014" w14:textId="77777777" w:rsidR="00E61AB6" w:rsidRPr="0004778F" w:rsidRDefault="00E61AB6" w:rsidP="00D51340">
            <w:pPr>
              <w:keepNext/>
              <w:keepLines/>
              <w:tabs>
                <w:tab w:val="decimal" w:pos="851"/>
              </w:tabs>
              <w:spacing w:before="60" w:after="60"/>
              <w:cnfStyle w:val="000000100000" w:firstRow="0" w:lastRow="0" w:firstColumn="0" w:lastColumn="0" w:oddVBand="0" w:evenVBand="0" w:oddHBand="1" w:evenHBand="0" w:firstRowFirstColumn="0" w:firstRowLastColumn="0" w:lastRowFirstColumn="0" w:lastRowLastColumn="0"/>
              <w:rPr>
                <w:iCs/>
                <w:sz w:val="18"/>
                <w:szCs w:val="18"/>
              </w:rPr>
            </w:pPr>
            <w:r w:rsidRPr="0004778F">
              <w:rPr>
                <w:iCs/>
                <w:sz w:val="18"/>
                <w:szCs w:val="18"/>
              </w:rPr>
              <w:t>5</w:t>
            </w:r>
          </w:p>
        </w:tc>
      </w:tr>
      <w:tr w:rsidR="00E61AB6" w:rsidRPr="00A27E99" w14:paraId="309AF096" w14:textId="77777777" w:rsidTr="00D51340">
        <w:tc>
          <w:tcPr>
            <w:cnfStyle w:val="001000000000" w:firstRow="0" w:lastRow="0" w:firstColumn="1" w:lastColumn="0" w:oddVBand="0" w:evenVBand="0" w:oddHBand="0" w:evenHBand="0" w:firstRowFirstColumn="0" w:firstRowLastColumn="0" w:lastRowFirstColumn="0" w:lastRowLastColumn="0"/>
            <w:tcW w:w="641" w:type="pct"/>
          </w:tcPr>
          <w:p w14:paraId="26C7F533" w14:textId="77777777" w:rsidR="00E61AB6" w:rsidRPr="0004778F" w:rsidRDefault="00E61AB6" w:rsidP="00D51340">
            <w:pPr>
              <w:keepNext/>
              <w:keepLines/>
              <w:spacing w:before="60" w:after="60"/>
              <w:rPr>
                <w:iCs/>
                <w:sz w:val="18"/>
                <w:szCs w:val="18"/>
              </w:rPr>
            </w:pPr>
            <w:r w:rsidRPr="0004778F">
              <w:rPr>
                <w:iCs/>
                <w:sz w:val="18"/>
                <w:szCs w:val="18"/>
              </w:rPr>
              <w:t>14.2.1</w:t>
            </w:r>
          </w:p>
        </w:tc>
        <w:tc>
          <w:tcPr>
            <w:tcW w:w="792" w:type="pct"/>
          </w:tcPr>
          <w:p w14:paraId="60166271" w14:textId="77777777" w:rsidR="00E61AB6" w:rsidRPr="0004778F" w:rsidRDefault="00E61AB6" w:rsidP="00D51340">
            <w:pPr>
              <w:keepNext/>
              <w:keepLine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Beer and related products</w:t>
            </w:r>
          </w:p>
        </w:tc>
        <w:tc>
          <w:tcPr>
            <w:tcW w:w="1632" w:type="pct"/>
          </w:tcPr>
          <w:p w14:paraId="55CB7CBD" w14:textId="77777777" w:rsidR="00E61AB6" w:rsidRPr="0004778F" w:rsidRDefault="00E61AB6" w:rsidP="00D51340">
            <w:pPr>
              <w:keepNext/>
              <w:keepLine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Non-alcoholic beer (&lt;0.5% abv)</w:t>
            </w:r>
          </w:p>
        </w:tc>
        <w:tc>
          <w:tcPr>
            <w:tcW w:w="324" w:type="pct"/>
          </w:tcPr>
          <w:p w14:paraId="7A7D49E1" w14:textId="77777777" w:rsidR="00E61AB6" w:rsidRPr="0004778F" w:rsidRDefault="00E61AB6" w:rsidP="00D51340">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14.2.1</w:t>
            </w:r>
          </w:p>
        </w:tc>
        <w:tc>
          <w:tcPr>
            <w:tcW w:w="537" w:type="pct"/>
          </w:tcPr>
          <w:p w14:paraId="33883A2B"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100</w:t>
            </w:r>
          </w:p>
        </w:tc>
        <w:tc>
          <w:tcPr>
            <w:tcW w:w="537" w:type="pct"/>
          </w:tcPr>
          <w:p w14:paraId="0C2C6029"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r w:rsidRPr="0004778F">
              <w:rPr>
                <w:iCs/>
                <w:sz w:val="18"/>
                <w:szCs w:val="18"/>
              </w:rPr>
              <w:t>100</w:t>
            </w:r>
          </w:p>
        </w:tc>
        <w:tc>
          <w:tcPr>
            <w:tcW w:w="537" w:type="pct"/>
          </w:tcPr>
          <w:p w14:paraId="1D71C4E3" w14:textId="77777777" w:rsidR="00E61AB6" w:rsidRPr="0004778F" w:rsidRDefault="00E61AB6" w:rsidP="00D51340">
            <w:pPr>
              <w:keepNext/>
              <w:keepLines/>
              <w:tabs>
                <w:tab w:val="decimal" w:pos="851"/>
              </w:tabs>
              <w:spacing w:before="60" w:after="60"/>
              <w:cnfStyle w:val="000000000000" w:firstRow="0" w:lastRow="0" w:firstColumn="0" w:lastColumn="0" w:oddVBand="0" w:evenVBand="0" w:oddHBand="0" w:evenHBand="0" w:firstRowFirstColumn="0" w:firstRowLastColumn="0" w:lastRowFirstColumn="0" w:lastRowLastColumn="0"/>
              <w:rPr>
                <w:iCs/>
                <w:sz w:val="18"/>
                <w:szCs w:val="18"/>
              </w:rPr>
            </w:pPr>
          </w:p>
        </w:tc>
      </w:tr>
    </w:tbl>
    <w:p w14:paraId="71220F79" w14:textId="21AB1F2F" w:rsidR="00E61AB6" w:rsidRDefault="00E61AB6" w:rsidP="00E61AB6"/>
    <w:tbl>
      <w:tblPr>
        <w:tblStyle w:val="GridTable4-Accent5"/>
        <w:tblW w:w="14228" w:type="dxa"/>
        <w:tblLook w:val="04A0" w:firstRow="1" w:lastRow="0" w:firstColumn="1" w:lastColumn="0" w:noHBand="0" w:noVBand="1"/>
        <w:tblDescription w:val="Concentrations of Natural Glycolipids (AM-1) for the Maximum MPL, Specific MPL and Usual Use level scenarios, by the Harvest classification codes, that were used in the dietary intake assessment. The food represented by each classification is also provided. There are also food classifications listed for the purpose of excluding them from consideration in the dietary exposure assessment (i.e. they have been given a concentration of 0 mg/kg)"/>
      </w:tblPr>
      <w:tblGrid>
        <w:gridCol w:w="1690"/>
        <w:gridCol w:w="4542"/>
        <w:gridCol w:w="3355"/>
        <w:gridCol w:w="1547"/>
        <w:gridCol w:w="1547"/>
        <w:gridCol w:w="1547"/>
      </w:tblGrid>
      <w:tr w:rsidR="00E61AB6" w:rsidRPr="008F3CB1" w14:paraId="5BB4BD85" w14:textId="77777777" w:rsidTr="00D513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28" w:type="dxa"/>
            <w:gridSpan w:val="6"/>
            <w:tcBorders>
              <w:top w:val="nil"/>
              <w:left w:val="nil"/>
              <w:bottom w:val="single" w:sz="4" w:space="0" w:color="4BACC6" w:themeColor="accent5"/>
              <w:right w:val="nil"/>
            </w:tcBorders>
            <w:shd w:val="clear" w:color="auto" w:fill="auto"/>
            <w:vAlign w:val="center"/>
          </w:tcPr>
          <w:p w14:paraId="15403818" w14:textId="62235A05" w:rsidR="00E61AB6" w:rsidRPr="002746B1" w:rsidRDefault="00E61AB6" w:rsidP="00D51340">
            <w:pPr>
              <w:pStyle w:val="FSTableTitle"/>
              <w:rPr>
                <w:b/>
                <w:color w:val="auto"/>
              </w:rPr>
            </w:pPr>
            <w:r w:rsidRPr="002746B1">
              <w:rPr>
                <w:b/>
                <w:color w:val="auto"/>
              </w:rPr>
              <w:t xml:space="preserve">Table </w:t>
            </w:r>
            <w:r w:rsidRPr="002746B1">
              <w:fldChar w:fldCharType="begin"/>
            </w:r>
            <w:r w:rsidRPr="002746B1">
              <w:rPr>
                <w:b/>
                <w:color w:val="auto"/>
              </w:rPr>
              <w:instrText xml:space="preserve"> SEQ Table \* ARABIC </w:instrText>
            </w:r>
            <w:r w:rsidRPr="002746B1">
              <w:fldChar w:fldCharType="separate"/>
            </w:r>
            <w:r w:rsidR="00E202C8">
              <w:rPr>
                <w:b/>
                <w:noProof/>
                <w:color w:val="auto"/>
              </w:rPr>
              <w:t>5</w:t>
            </w:r>
            <w:r w:rsidRPr="002746B1">
              <w:fldChar w:fldCharType="end"/>
            </w:r>
            <w:r w:rsidRPr="002746B1">
              <w:rPr>
                <w:b/>
                <w:color w:val="auto"/>
              </w:rPr>
              <w:t xml:space="preserve">: Concentrations of </w:t>
            </w:r>
            <w:r>
              <w:rPr>
                <w:b/>
                <w:color w:val="auto"/>
              </w:rPr>
              <w:t>j</w:t>
            </w:r>
            <w:r w:rsidRPr="005F7B7D">
              <w:rPr>
                <w:b/>
                <w:color w:val="auto"/>
              </w:rPr>
              <w:t>elly mushroom glycolipids</w:t>
            </w:r>
            <w:r w:rsidRPr="002746B1">
              <w:rPr>
                <w:b/>
                <w:color w:val="auto"/>
              </w:rPr>
              <w:t xml:space="preserve"> used in the dietary exposure assessment for all scenarios</w:t>
            </w:r>
          </w:p>
        </w:tc>
      </w:tr>
      <w:tr w:rsidR="00E61AB6" w:rsidRPr="00A27E99" w14:paraId="541F6384" w14:textId="77777777" w:rsidTr="00D5134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0" w:type="dxa"/>
            <w:tcBorders>
              <w:top w:val="single" w:sz="4" w:space="0" w:color="4BACC6" w:themeColor="accent5"/>
            </w:tcBorders>
            <w:vAlign w:val="center"/>
          </w:tcPr>
          <w:p w14:paraId="3FD77820" w14:textId="77777777" w:rsidR="00E61AB6" w:rsidRPr="00325DF1" w:rsidRDefault="00E61AB6" w:rsidP="00D51340">
            <w:pPr>
              <w:spacing w:before="60" w:after="60"/>
              <w:rPr>
                <w:iCs/>
              </w:rPr>
            </w:pPr>
            <w:r w:rsidRPr="00325DF1">
              <w:rPr>
                <w:iCs/>
              </w:rPr>
              <w:t>Harvest code</w:t>
            </w:r>
          </w:p>
        </w:tc>
        <w:tc>
          <w:tcPr>
            <w:tcW w:w="4542" w:type="dxa"/>
            <w:tcBorders>
              <w:top w:val="single" w:sz="4" w:space="0" w:color="4BACC6" w:themeColor="accent5"/>
            </w:tcBorders>
            <w:vAlign w:val="center"/>
          </w:tcPr>
          <w:p w14:paraId="4828312D" w14:textId="77777777" w:rsidR="00E61AB6" w:rsidRPr="00325DF1" w:rsidRDefault="00E61AB6" w:rsidP="00D51340">
            <w:pPr>
              <w:spacing w:before="60" w:after="60"/>
              <w:cnfStyle w:val="100000000000" w:firstRow="1" w:lastRow="0" w:firstColumn="0" w:lastColumn="0" w:oddVBand="0" w:evenVBand="0" w:oddHBand="0" w:evenHBand="0" w:firstRowFirstColumn="0" w:firstRowLastColumn="0" w:lastRowFirstColumn="0" w:lastRowLastColumn="0"/>
              <w:rPr>
                <w:iCs/>
              </w:rPr>
            </w:pPr>
            <w:r>
              <w:rPr>
                <w:iCs/>
              </w:rPr>
              <w:t>Harvest f</w:t>
            </w:r>
            <w:r w:rsidRPr="00325DF1">
              <w:rPr>
                <w:iCs/>
              </w:rPr>
              <w:t>ood category name</w:t>
            </w:r>
          </w:p>
        </w:tc>
        <w:tc>
          <w:tcPr>
            <w:tcW w:w="3355" w:type="dxa"/>
            <w:tcBorders>
              <w:top w:val="single" w:sz="4" w:space="0" w:color="4BACC6" w:themeColor="accent5"/>
            </w:tcBorders>
            <w:vAlign w:val="center"/>
          </w:tcPr>
          <w:p w14:paraId="48F3651D" w14:textId="77777777" w:rsidR="00E61AB6" w:rsidRPr="00325DF1" w:rsidRDefault="00E61AB6" w:rsidP="00D51340">
            <w:pPr>
              <w:spacing w:before="60" w:after="60"/>
              <w:cnfStyle w:val="100000000000" w:firstRow="1" w:lastRow="0" w:firstColumn="0" w:lastColumn="0" w:oddVBand="0" w:evenVBand="0" w:oddHBand="0" w:evenHBand="0" w:firstRowFirstColumn="0" w:firstRowLastColumn="0" w:lastRowFirstColumn="0" w:lastRowLastColumn="0"/>
              <w:rPr>
                <w:iCs/>
              </w:rPr>
            </w:pPr>
            <w:r w:rsidRPr="00325DF1">
              <w:rPr>
                <w:iCs/>
              </w:rPr>
              <w:t xml:space="preserve">Food </w:t>
            </w:r>
            <w:r>
              <w:rPr>
                <w:iCs/>
              </w:rPr>
              <w:t>class</w:t>
            </w:r>
            <w:r w:rsidRPr="00325DF1">
              <w:rPr>
                <w:iCs/>
              </w:rPr>
              <w:t xml:space="preserve"> represented</w:t>
            </w:r>
          </w:p>
        </w:tc>
        <w:tc>
          <w:tcPr>
            <w:tcW w:w="1547" w:type="dxa"/>
            <w:tcBorders>
              <w:top w:val="single" w:sz="4" w:space="0" w:color="4BACC6" w:themeColor="accent5"/>
            </w:tcBorders>
            <w:vAlign w:val="center"/>
          </w:tcPr>
          <w:p w14:paraId="3C7AD43D" w14:textId="77777777" w:rsidR="00E61AB6" w:rsidRPr="00325DF1" w:rsidRDefault="00E61AB6" w:rsidP="00D51340">
            <w:pPr>
              <w:spacing w:before="60" w:after="60"/>
              <w:jc w:val="center"/>
              <w:cnfStyle w:val="100000000000" w:firstRow="1" w:lastRow="0" w:firstColumn="0" w:lastColumn="0" w:oddVBand="0" w:evenVBand="0" w:oddHBand="0" w:evenHBand="0" w:firstRowFirstColumn="0" w:firstRowLastColumn="0" w:lastRowFirstColumn="0" w:lastRowLastColumn="0"/>
              <w:rPr>
                <w:iCs/>
              </w:rPr>
            </w:pPr>
            <w:r w:rsidRPr="00325DF1">
              <w:rPr>
                <w:iCs/>
              </w:rPr>
              <w:t>General MPL (mg/kg)</w:t>
            </w:r>
          </w:p>
        </w:tc>
        <w:tc>
          <w:tcPr>
            <w:tcW w:w="1547" w:type="dxa"/>
            <w:tcBorders>
              <w:top w:val="single" w:sz="4" w:space="0" w:color="4BACC6" w:themeColor="accent5"/>
            </w:tcBorders>
            <w:vAlign w:val="center"/>
          </w:tcPr>
          <w:p w14:paraId="4F2D05AC" w14:textId="77777777" w:rsidR="00E61AB6" w:rsidRPr="00325DF1" w:rsidRDefault="00E61AB6" w:rsidP="00D51340">
            <w:pPr>
              <w:spacing w:before="60" w:after="60"/>
              <w:jc w:val="center"/>
              <w:cnfStyle w:val="100000000000" w:firstRow="1" w:lastRow="0" w:firstColumn="0" w:lastColumn="0" w:oddVBand="0" w:evenVBand="0" w:oddHBand="0" w:evenHBand="0" w:firstRowFirstColumn="0" w:firstRowLastColumn="0" w:lastRowFirstColumn="0" w:lastRowLastColumn="0"/>
              <w:rPr>
                <w:iCs/>
              </w:rPr>
            </w:pPr>
            <w:r w:rsidRPr="00325DF1">
              <w:rPr>
                <w:iCs/>
              </w:rPr>
              <w:t>Specific MPL (mg/kg)</w:t>
            </w:r>
          </w:p>
        </w:tc>
        <w:tc>
          <w:tcPr>
            <w:tcW w:w="1547" w:type="dxa"/>
            <w:tcBorders>
              <w:top w:val="single" w:sz="4" w:space="0" w:color="4BACC6" w:themeColor="accent5"/>
            </w:tcBorders>
            <w:vAlign w:val="center"/>
          </w:tcPr>
          <w:p w14:paraId="0D3F6557" w14:textId="77777777" w:rsidR="00E61AB6" w:rsidRPr="00325DF1" w:rsidRDefault="00E61AB6" w:rsidP="00D51340">
            <w:pPr>
              <w:spacing w:before="60" w:after="60"/>
              <w:jc w:val="center"/>
              <w:cnfStyle w:val="100000000000" w:firstRow="1" w:lastRow="0" w:firstColumn="0" w:lastColumn="0" w:oddVBand="0" w:evenVBand="0" w:oddHBand="0" w:evenHBand="0" w:firstRowFirstColumn="0" w:firstRowLastColumn="0" w:lastRowFirstColumn="0" w:lastRowLastColumn="0"/>
            </w:pPr>
            <w:r w:rsidRPr="00325DF1">
              <w:t>Usual Use (mg/kg)</w:t>
            </w:r>
          </w:p>
        </w:tc>
      </w:tr>
      <w:tr w:rsidR="00E61AB6" w:rsidRPr="00A27E99" w14:paraId="5FE745C0" w14:textId="77777777" w:rsidTr="00D513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53399F89" w14:textId="77777777" w:rsidR="00E61AB6" w:rsidRPr="00325DF1" w:rsidRDefault="00E61AB6" w:rsidP="00D51340">
            <w:pPr>
              <w:spacing w:before="60" w:after="60"/>
              <w:rPr>
                <w:iCs/>
              </w:rPr>
            </w:pPr>
            <w:r w:rsidRPr="00325DF1">
              <w:t>1.1.2.1.5.1</w:t>
            </w:r>
          </w:p>
        </w:tc>
        <w:tc>
          <w:tcPr>
            <w:tcW w:w="4542" w:type="dxa"/>
            <w:vAlign w:val="center"/>
          </w:tcPr>
          <w:p w14:paraId="64AA29C7"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sidRPr="00325DF1">
              <w:t>Liquid milk products and flavoured liquid milk, increased fat, flavoured, coffee</w:t>
            </w:r>
          </w:p>
        </w:tc>
        <w:tc>
          <w:tcPr>
            <w:tcW w:w="3355" w:type="dxa"/>
            <w:vAlign w:val="center"/>
          </w:tcPr>
          <w:p w14:paraId="6F119D6B"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Pr>
                <w:lang w:eastAsia="en-AU"/>
              </w:rPr>
              <w:t>Pre-packaged ready</w:t>
            </w:r>
            <w:r w:rsidRPr="00325DF1">
              <w:t xml:space="preserve"> to drink coffee</w:t>
            </w:r>
          </w:p>
        </w:tc>
        <w:tc>
          <w:tcPr>
            <w:tcW w:w="1547" w:type="dxa"/>
            <w:vAlign w:val="center"/>
          </w:tcPr>
          <w:p w14:paraId="11D101D1"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t>20</w:t>
            </w:r>
          </w:p>
        </w:tc>
        <w:tc>
          <w:tcPr>
            <w:tcW w:w="1547" w:type="dxa"/>
            <w:vAlign w:val="center"/>
          </w:tcPr>
          <w:p w14:paraId="1A3F70CA"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t>20</w:t>
            </w:r>
          </w:p>
        </w:tc>
        <w:tc>
          <w:tcPr>
            <w:tcW w:w="1547" w:type="dxa"/>
            <w:vAlign w:val="center"/>
          </w:tcPr>
          <w:p w14:paraId="0ED6C243"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pPr>
            <w:r w:rsidRPr="00325DF1">
              <w:t>5</w:t>
            </w:r>
          </w:p>
        </w:tc>
      </w:tr>
      <w:tr w:rsidR="00E61AB6" w:rsidRPr="00A27E99" w14:paraId="7D04E43F" w14:textId="77777777" w:rsidTr="00D51340">
        <w:trPr>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466BC68B" w14:textId="77777777" w:rsidR="00E61AB6" w:rsidRPr="00325DF1" w:rsidRDefault="00E61AB6" w:rsidP="00D51340">
            <w:pPr>
              <w:spacing w:before="60" w:after="60"/>
              <w:rPr>
                <w:iCs/>
              </w:rPr>
            </w:pPr>
            <w:r w:rsidRPr="00325DF1">
              <w:t>1.1.2.2.5.6</w:t>
            </w:r>
          </w:p>
        </w:tc>
        <w:tc>
          <w:tcPr>
            <w:tcW w:w="4542" w:type="dxa"/>
            <w:vAlign w:val="center"/>
          </w:tcPr>
          <w:p w14:paraId="2FAC9CA3"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sidRPr="00325DF1">
              <w:t>Liquid milk products and flavoured liquid milk, whole fat, flavoured, coffee</w:t>
            </w:r>
          </w:p>
        </w:tc>
        <w:tc>
          <w:tcPr>
            <w:tcW w:w="3355" w:type="dxa"/>
            <w:vAlign w:val="center"/>
          </w:tcPr>
          <w:p w14:paraId="0C01E066"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Pr>
                <w:lang w:eastAsia="en-AU"/>
              </w:rPr>
              <w:t>Pre-packaged ready</w:t>
            </w:r>
            <w:r w:rsidRPr="00325DF1">
              <w:t xml:space="preserve"> to drink coffee</w:t>
            </w:r>
          </w:p>
        </w:tc>
        <w:tc>
          <w:tcPr>
            <w:tcW w:w="1547" w:type="dxa"/>
            <w:vAlign w:val="center"/>
          </w:tcPr>
          <w:p w14:paraId="3F0A71F6"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t>20</w:t>
            </w:r>
          </w:p>
        </w:tc>
        <w:tc>
          <w:tcPr>
            <w:tcW w:w="1547" w:type="dxa"/>
            <w:vAlign w:val="center"/>
          </w:tcPr>
          <w:p w14:paraId="0EC2BA18"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t>20</w:t>
            </w:r>
          </w:p>
        </w:tc>
        <w:tc>
          <w:tcPr>
            <w:tcW w:w="1547" w:type="dxa"/>
            <w:vAlign w:val="center"/>
          </w:tcPr>
          <w:p w14:paraId="5F69E862"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pPr>
            <w:r w:rsidRPr="00325DF1">
              <w:t>5</w:t>
            </w:r>
          </w:p>
        </w:tc>
      </w:tr>
      <w:tr w:rsidR="00E61AB6" w:rsidRPr="00A27E99" w14:paraId="4A3C0948" w14:textId="77777777" w:rsidTr="00D513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3FB52D43" w14:textId="77777777" w:rsidR="00E61AB6" w:rsidRPr="00325DF1" w:rsidRDefault="00E61AB6" w:rsidP="00D51340">
            <w:pPr>
              <w:spacing w:before="60" w:after="60"/>
              <w:rPr>
                <w:iCs/>
              </w:rPr>
            </w:pPr>
            <w:r w:rsidRPr="00325DF1">
              <w:t>1.1.2.3.6.6</w:t>
            </w:r>
          </w:p>
        </w:tc>
        <w:tc>
          <w:tcPr>
            <w:tcW w:w="4542" w:type="dxa"/>
            <w:vAlign w:val="center"/>
          </w:tcPr>
          <w:p w14:paraId="24963E3B"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sidRPr="00325DF1">
              <w:t>Liquid milk products and flavoured liquid milk, reduced fat, coffee</w:t>
            </w:r>
          </w:p>
        </w:tc>
        <w:tc>
          <w:tcPr>
            <w:tcW w:w="3355" w:type="dxa"/>
            <w:vAlign w:val="center"/>
          </w:tcPr>
          <w:p w14:paraId="32DE1D93"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Pr>
                <w:lang w:eastAsia="en-AU"/>
              </w:rPr>
              <w:t>Pre-packaged ready</w:t>
            </w:r>
            <w:r w:rsidRPr="00325DF1">
              <w:t xml:space="preserve"> to drink coffee</w:t>
            </w:r>
          </w:p>
        </w:tc>
        <w:tc>
          <w:tcPr>
            <w:tcW w:w="1547" w:type="dxa"/>
            <w:vAlign w:val="center"/>
          </w:tcPr>
          <w:p w14:paraId="0E215677"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t>20</w:t>
            </w:r>
          </w:p>
        </w:tc>
        <w:tc>
          <w:tcPr>
            <w:tcW w:w="1547" w:type="dxa"/>
            <w:vAlign w:val="center"/>
          </w:tcPr>
          <w:p w14:paraId="2FFEC057"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t>20</w:t>
            </w:r>
          </w:p>
        </w:tc>
        <w:tc>
          <w:tcPr>
            <w:tcW w:w="1547" w:type="dxa"/>
            <w:vAlign w:val="center"/>
          </w:tcPr>
          <w:p w14:paraId="5B258A6B"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pPr>
            <w:r w:rsidRPr="00325DF1">
              <w:t>5</w:t>
            </w:r>
          </w:p>
        </w:tc>
      </w:tr>
      <w:tr w:rsidR="00E61AB6" w:rsidRPr="00A27E99" w14:paraId="67517D40" w14:textId="77777777" w:rsidTr="00D51340">
        <w:trPr>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7C3CE3E6" w14:textId="77777777" w:rsidR="00E61AB6" w:rsidRPr="00325DF1" w:rsidRDefault="00E61AB6" w:rsidP="00D51340">
            <w:pPr>
              <w:spacing w:before="60" w:after="60"/>
              <w:rPr>
                <w:iCs/>
              </w:rPr>
            </w:pPr>
            <w:r w:rsidRPr="00325DF1">
              <w:t>1.1.2.4.5.6</w:t>
            </w:r>
          </w:p>
        </w:tc>
        <w:tc>
          <w:tcPr>
            <w:tcW w:w="4542" w:type="dxa"/>
            <w:vAlign w:val="center"/>
          </w:tcPr>
          <w:p w14:paraId="46FFD91A"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sidRPr="00325DF1">
              <w:t>Liquid milk products and flavoured liquid milk, low/skim, flavoured, coffee</w:t>
            </w:r>
          </w:p>
        </w:tc>
        <w:tc>
          <w:tcPr>
            <w:tcW w:w="3355" w:type="dxa"/>
            <w:vAlign w:val="center"/>
          </w:tcPr>
          <w:p w14:paraId="60389FAC"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Pr>
                <w:lang w:eastAsia="en-AU"/>
              </w:rPr>
              <w:t>Pre-packaged ready</w:t>
            </w:r>
            <w:r w:rsidRPr="00325DF1">
              <w:t xml:space="preserve"> to drink coffee</w:t>
            </w:r>
          </w:p>
        </w:tc>
        <w:tc>
          <w:tcPr>
            <w:tcW w:w="1547" w:type="dxa"/>
            <w:vAlign w:val="center"/>
          </w:tcPr>
          <w:p w14:paraId="77527288"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t>20</w:t>
            </w:r>
          </w:p>
        </w:tc>
        <w:tc>
          <w:tcPr>
            <w:tcW w:w="1547" w:type="dxa"/>
            <w:vAlign w:val="center"/>
          </w:tcPr>
          <w:p w14:paraId="3100BE93"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t>20</w:t>
            </w:r>
          </w:p>
        </w:tc>
        <w:tc>
          <w:tcPr>
            <w:tcW w:w="1547" w:type="dxa"/>
            <w:vAlign w:val="center"/>
          </w:tcPr>
          <w:p w14:paraId="049BC7ED"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pPr>
            <w:r w:rsidRPr="00325DF1">
              <w:t>5</w:t>
            </w:r>
          </w:p>
        </w:tc>
      </w:tr>
      <w:tr w:rsidR="00E61AB6" w:rsidRPr="00A27E99" w14:paraId="7E124AEC" w14:textId="77777777" w:rsidTr="00D513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3C3EFC42" w14:textId="77777777" w:rsidR="00E61AB6" w:rsidRPr="00325DF1" w:rsidRDefault="00E61AB6" w:rsidP="00D51340">
            <w:pPr>
              <w:spacing w:before="60" w:after="60"/>
              <w:rPr>
                <w:iCs/>
              </w:rPr>
            </w:pPr>
            <w:r w:rsidRPr="00325DF1">
              <w:t>1.1.2.7.2.6</w:t>
            </w:r>
          </w:p>
        </w:tc>
        <w:tc>
          <w:tcPr>
            <w:tcW w:w="4542" w:type="dxa"/>
            <w:vAlign w:val="center"/>
          </w:tcPr>
          <w:p w14:paraId="57603B0E"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sidRPr="00325DF1">
              <w:t>Liquid milk products and flavoured liquid milk, unspecified fat, flavoured, coffee</w:t>
            </w:r>
          </w:p>
        </w:tc>
        <w:tc>
          <w:tcPr>
            <w:tcW w:w="3355" w:type="dxa"/>
            <w:vAlign w:val="center"/>
          </w:tcPr>
          <w:p w14:paraId="21C66214"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Pr>
                <w:lang w:eastAsia="en-AU"/>
              </w:rPr>
              <w:t>Pre-packaged ready</w:t>
            </w:r>
            <w:r w:rsidRPr="00325DF1">
              <w:t xml:space="preserve"> to drink coffee</w:t>
            </w:r>
          </w:p>
        </w:tc>
        <w:tc>
          <w:tcPr>
            <w:tcW w:w="1547" w:type="dxa"/>
            <w:vAlign w:val="center"/>
          </w:tcPr>
          <w:p w14:paraId="52AD5283"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rPr>
                <w:iCs/>
              </w:rPr>
              <w:t>20</w:t>
            </w:r>
          </w:p>
        </w:tc>
        <w:tc>
          <w:tcPr>
            <w:tcW w:w="1547" w:type="dxa"/>
            <w:vAlign w:val="center"/>
          </w:tcPr>
          <w:p w14:paraId="5E433CBC"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rPr>
                <w:iCs/>
              </w:rPr>
              <w:t>20</w:t>
            </w:r>
          </w:p>
        </w:tc>
        <w:tc>
          <w:tcPr>
            <w:tcW w:w="1547" w:type="dxa"/>
            <w:vAlign w:val="center"/>
          </w:tcPr>
          <w:p w14:paraId="547DEDA2"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rPr>
                <w:iCs/>
              </w:rPr>
              <w:t>5</w:t>
            </w:r>
          </w:p>
        </w:tc>
      </w:tr>
      <w:tr w:rsidR="00E61AB6" w:rsidRPr="00A27E99" w14:paraId="72D1E43D" w14:textId="77777777" w:rsidTr="00D51340">
        <w:trPr>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1ED12F3B" w14:textId="77777777" w:rsidR="00E61AB6" w:rsidRPr="00325DF1" w:rsidRDefault="00E61AB6" w:rsidP="00D51340">
            <w:pPr>
              <w:spacing w:before="60" w:after="60"/>
              <w:rPr>
                <w:iCs/>
              </w:rPr>
            </w:pPr>
            <w:r w:rsidRPr="00325DF1">
              <w:rPr>
                <w:iCs/>
              </w:rPr>
              <w:t>14.1</w:t>
            </w:r>
          </w:p>
        </w:tc>
        <w:tc>
          <w:tcPr>
            <w:tcW w:w="4542" w:type="dxa"/>
            <w:vAlign w:val="center"/>
          </w:tcPr>
          <w:p w14:paraId="5A0DA8B3"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sidRPr="00325DF1">
              <w:rPr>
                <w:iCs/>
              </w:rPr>
              <w:t>Non-alcoholic beverages</w:t>
            </w:r>
          </w:p>
        </w:tc>
        <w:tc>
          <w:tcPr>
            <w:tcW w:w="3355" w:type="dxa"/>
            <w:vAlign w:val="center"/>
          </w:tcPr>
          <w:p w14:paraId="590DB2B1"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sidRPr="00325DF1">
              <w:rPr>
                <w:iCs/>
              </w:rPr>
              <w:t>Carbonated flavoured mineral waters and plant-based milk alternatives</w:t>
            </w:r>
          </w:p>
        </w:tc>
        <w:tc>
          <w:tcPr>
            <w:tcW w:w="1547" w:type="dxa"/>
            <w:vAlign w:val="center"/>
          </w:tcPr>
          <w:p w14:paraId="7D8D1E11"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rPr>
                <w:iCs/>
              </w:rPr>
              <w:t>100</w:t>
            </w:r>
          </w:p>
        </w:tc>
        <w:tc>
          <w:tcPr>
            <w:tcW w:w="1547" w:type="dxa"/>
            <w:vAlign w:val="center"/>
          </w:tcPr>
          <w:p w14:paraId="29C7765A"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rPr>
                <w:iCs/>
              </w:rPr>
              <w:t>100</w:t>
            </w:r>
          </w:p>
        </w:tc>
        <w:tc>
          <w:tcPr>
            <w:tcW w:w="1547" w:type="dxa"/>
            <w:vAlign w:val="center"/>
          </w:tcPr>
          <w:p w14:paraId="64141E0E"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pPr>
            <w:r w:rsidRPr="00325DF1">
              <w:t>75</w:t>
            </w:r>
          </w:p>
        </w:tc>
      </w:tr>
      <w:tr w:rsidR="00E61AB6" w:rsidRPr="00A27E99" w14:paraId="0B2A85B8" w14:textId="77777777" w:rsidTr="00D513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792DDA3D" w14:textId="77777777" w:rsidR="00E61AB6" w:rsidRPr="00325DF1" w:rsidRDefault="00E61AB6" w:rsidP="00D51340">
            <w:pPr>
              <w:spacing w:before="60" w:after="60"/>
              <w:rPr>
                <w:iCs/>
              </w:rPr>
            </w:pPr>
            <w:r w:rsidRPr="00325DF1">
              <w:t>14.1.1.1</w:t>
            </w:r>
          </w:p>
        </w:tc>
        <w:tc>
          <w:tcPr>
            <w:tcW w:w="4542" w:type="dxa"/>
            <w:vAlign w:val="center"/>
          </w:tcPr>
          <w:p w14:paraId="6F1A4D85"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sidRPr="00325DF1">
              <w:t>Mineral water</w:t>
            </w:r>
            <w:r>
              <w:t>,</w:t>
            </w:r>
            <w:r w:rsidRPr="00325DF1">
              <w:t xml:space="preserve"> </w:t>
            </w:r>
            <w:r>
              <w:t>non-</w:t>
            </w:r>
            <w:r w:rsidRPr="00325DF1">
              <w:t>carbonated</w:t>
            </w:r>
          </w:p>
        </w:tc>
        <w:tc>
          <w:tcPr>
            <w:tcW w:w="3355" w:type="dxa"/>
            <w:vAlign w:val="center"/>
          </w:tcPr>
          <w:p w14:paraId="5F1CCECA"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sidRPr="00325DF1">
              <w:rPr>
                <w:iCs/>
              </w:rPr>
              <w:t>Exclusions</w:t>
            </w:r>
          </w:p>
        </w:tc>
        <w:tc>
          <w:tcPr>
            <w:tcW w:w="1547" w:type="dxa"/>
            <w:vAlign w:val="center"/>
          </w:tcPr>
          <w:p w14:paraId="6F3615BD"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rPr>
                <w:iCs/>
              </w:rPr>
              <w:t>0</w:t>
            </w:r>
          </w:p>
        </w:tc>
        <w:tc>
          <w:tcPr>
            <w:tcW w:w="1547" w:type="dxa"/>
            <w:vAlign w:val="center"/>
          </w:tcPr>
          <w:p w14:paraId="08ECE541"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rPr>
                <w:iCs/>
              </w:rPr>
              <w:t>0</w:t>
            </w:r>
          </w:p>
        </w:tc>
        <w:tc>
          <w:tcPr>
            <w:tcW w:w="1547" w:type="dxa"/>
            <w:vAlign w:val="center"/>
          </w:tcPr>
          <w:p w14:paraId="0323B02E"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pPr>
            <w:r w:rsidRPr="00325DF1">
              <w:t>0</w:t>
            </w:r>
          </w:p>
        </w:tc>
      </w:tr>
      <w:tr w:rsidR="00E61AB6" w:rsidRPr="00A27E99" w14:paraId="0D28D967" w14:textId="77777777" w:rsidTr="00D51340">
        <w:trPr>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79588F60" w14:textId="77777777" w:rsidR="00E61AB6" w:rsidRPr="00325DF1" w:rsidRDefault="00E61AB6" w:rsidP="00D51340">
            <w:pPr>
              <w:spacing w:before="60" w:after="60"/>
              <w:rPr>
                <w:iCs/>
              </w:rPr>
            </w:pPr>
            <w:r w:rsidRPr="00325DF1">
              <w:t>14.1.1.2.1</w:t>
            </w:r>
          </w:p>
        </w:tc>
        <w:tc>
          <w:tcPr>
            <w:tcW w:w="4542" w:type="dxa"/>
            <w:vAlign w:val="center"/>
          </w:tcPr>
          <w:p w14:paraId="55815B29"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sidRPr="00325DF1">
              <w:t>Carbonated, mineralised &amp; soda waters, unflav</w:t>
            </w:r>
            <w:r>
              <w:t>oured</w:t>
            </w:r>
          </w:p>
        </w:tc>
        <w:tc>
          <w:tcPr>
            <w:tcW w:w="3355" w:type="dxa"/>
            <w:vAlign w:val="center"/>
          </w:tcPr>
          <w:p w14:paraId="5E932A34"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sidRPr="00325DF1">
              <w:rPr>
                <w:iCs/>
              </w:rPr>
              <w:t>Exclusions</w:t>
            </w:r>
          </w:p>
        </w:tc>
        <w:tc>
          <w:tcPr>
            <w:tcW w:w="1547" w:type="dxa"/>
            <w:vAlign w:val="center"/>
          </w:tcPr>
          <w:p w14:paraId="4EC705D3"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rPr>
                <w:iCs/>
              </w:rPr>
              <w:t>0</w:t>
            </w:r>
          </w:p>
        </w:tc>
        <w:tc>
          <w:tcPr>
            <w:tcW w:w="1547" w:type="dxa"/>
            <w:vAlign w:val="center"/>
          </w:tcPr>
          <w:p w14:paraId="44374FEF"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rPr>
                <w:iCs/>
              </w:rPr>
              <w:t>0</w:t>
            </w:r>
          </w:p>
        </w:tc>
        <w:tc>
          <w:tcPr>
            <w:tcW w:w="1547" w:type="dxa"/>
            <w:vAlign w:val="center"/>
          </w:tcPr>
          <w:p w14:paraId="19026D53"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pPr>
            <w:r w:rsidRPr="00325DF1">
              <w:t>0</w:t>
            </w:r>
          </w:p>
        </w:tc>
      </w:tr>
      <w:tr w:rsidR="00E61AB6" w:rsidRPr="00A27E99" w14:paraId="38218F74" w14:textId="77777777" w:rsidTr="00D513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73290C7F" w14:textId="77777777" w:rsidR="00E61AB6" w:rsidRPr="00325DF1" w:rsidRDefault="00E61AB6" w:rsidP="00D51340">
            <w:pPr>
              <w:spacing w:before="60" w:after="60"/>
              <w:rPr>
                <w:iCs/>
              </w:rPr>
            </w:pPr>
            <w:r w:rsidRPr="00325DF1">
              <w:rPr>
                <w:iCs/>
              </w:rPr>
              <w:t>14.1.2</w:t>
            </w:r>
          </w:p>
        </w:tc>
        <w:tc>
          <w:tcPr>
            <w:tcW w:w="4542" w:type="dxa"/>
            <w:vAlign w:val="center"/>
          </w:tcPr>
          <w:p w14:paraId="08D15A4D"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Pr>
                <w:iCs/>
              </w:rPr>
              <w:t>Fruit and</w:t>
            </w:r>
            <w:r w:rsidRPr="00325DF1">
              <w:rPr>
                <w:iCs/>
              </w:rPr>
              <w:t xml:space="preserve"> vege</w:t>
            </w:r>
            <w:r>
              <w:rPr>
                <w:iCs/>
              </w:rPr>
              <w:t>table</w:t>
            </w:r>
            <w:r w:rsidRPr="00325DF1">
              <w:rPr>
                <w:iCs/>
              </w:rPr>
              <w:t xml:space="preserve"> juices </w:t>
            </w:r>
            <w:r>
              <w:rPr>
                <w:iCs/>
              </w:rPr>
              <w:t>and</w:t>
            </w:r>
            <w:r w:rsidRPr="00325DF1">
              <w:rPr>
                <w:iCs/>
              </w:rPr>
              <w:t xml:space="preserve"> fruit </w:t>
            </w:r>
            <w:r>
              <w:rPr>
                <w:iCs/>
              </w:rPr>
              <w:t>and</w:t>
            </w:r>
            <w:r w:rsidRPr="00325DF1">
              <w:rPr>
                <w:iCs/>
              </w:rPr>
              <w:t xml:space="preserve"> vege</w:t>
            </w:r>
            <w:r>
              <w:rPr>
                <w:iCs/>
              </w:rPr>
              <w:t>table</w:t>
            </w:r>
            <w:r w:rsidRPr="00325DF1">
              <w:rPr>
                <w:iCs/>
              </w:rPr>
              <w:t xml:space="preserve"> juice products</w:t>
            </w:r>
          </w:p>
        </w:tc>
        <w:tc>
          <w:tcPr>
            <w:tcW w:w="3355" w:type="dxa"/>
            <w:vAlign w:val="center"/>
          </w:tcPr>
          <w:p w14:paraId="628200AE"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Pr>
                <w:iCs/>
              </w:rPr>
              <w:t>All fruit and vegetables and products not included below</w:t>
            </w:r>
          </w:p>
        </w:tc>
        <w:tc>
          <w:tcPr>
            <w:tcW w:w="1547" w:type="dxa"/>
            <w:vAlign w:val="center"/>
          </w:tcPr>
          <w:p w14:paraId="306102B5"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rPr>
                <w:iCs/>
              </w:rPr>
              <w:t>100</w:t>
            </w:r>
          </w:p>
        </w:tc>
        <w:tc>
          <w:tcPr>
            <w:tcW w:w="1547" w:type="dxa"/>
            <w:vAlign w:val="center"/>
          </w:tcPr>
          <w:p w14:paraId="14B19806"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rPr>
                <w:iCs/>
              </w:rPr>
              <w:t>100</w:t>
            </w:r>
          </w:p>
        </w:tc>
        <w:tc>
          <w:tcPr>
            <w:tcW w:w="1547" w:type="dxa"/>
            <w:vAlign w:val="center"/>
          </w:tcPr>
          <w:p w14:paraId="7C21CF7B"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pPr>
            <w:r w:rsidRPr="00325DF1">
              <w:t>75</w:t>
            </w:r>
          </w:p>
        </w:tc>
      </w:tr>
      <w:tr w:rsidR="00E61AB6" w:rsidRPr="00A27E99" w14:paraId="7F78674C" w14:textId="77777777" w:rsidTr="00D51340">
        <w:trPr>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7A893306" w14:textId="77777777" w:rsidR="00E61AB6" w:rsidRPr="00325DF1" w:rsidRDefault="00E61AB6" w:rsidP="00D51340">
            <w:pPr>
              <w:spacing w:before="60" w:after="60"/>
              <w:rPr>
                <w:iCs/>
              </w:rPr>
            </w:pPr>
            <w:r w:rsidRPr="00325DF1">
              <w:t>14.1.2.1</w:t>
            </w:r>
          </w:p>
        </w:tc>
        <w:tc>
          <w:tcPr>
            <w:tcW w:w="4542" w:type="dxa"/>
            <w:vAlign w:val="center"/>
          </w:tcPr>
          <w:p w14:paraId="7C775DDE"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sidRPr="00325DF1">
              <w:t xml:space="preserve">Fruit </w:t>
            </w:r>
            <w:r>
              <w:t>and</w:t>
            </w:r>
            <w:r w:rsidRPr="00325DF1">
              <w:t xml:space="preserve"> vegetable juices</w:t>
            </w:r>
          </w:p>
        </w:tc>
        <w:tc>
          <w:tcPr>
            <w:tcW w:w="3355" w:type="dxa"/>
            <w:vAlign w:val="center"/>
          </w:tcPr>
          <w:p w14:paraId="0A59150C"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sidRPr="00325DF1">
              <w:t xml:space="preserve">Fruit </w:t>
            </w:r>
            <w:r>
              <w:t>and</w:t>
            </w:r>
            <w:r w:rsidRPr="00325DF1">
              <w:t xml:space="preserve"> vegetable juices</w:t>
            </w:r>
          </w:p>
        </w:tc>
        <w:tc>
          <w:tcPr>
            <w:tcW w:w="1547" w:type="dxa"/>
            <w:vAlign w:val="center"/>
          </w:tcPr>
          <w:p w14:paraId="16892988"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t>100</w:t>
            </w:r>
          </w:p>
        </w:tc>
        <w:tc>
          <w:tcPr>
            <w:tcW w:w="1547" w:type="dxa"/>
            <w:vAlign w:val="center"/>
          </w:tcPr>
          <w:p w14:paraId="270AF46A"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t>100</w:t>
            </w:r>
          </w:p>
        </w:tc>
        <w:tc>
          <w:tcPr>
            <w:tcW w:w="1547" w:type="dxa"/>
            <w:vAlign w:val="center"/>
          </w:tcPr>
          <w:p w14:paraId="6A4F4E36"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pPr>
            <w:r w:rsidRPr="00325DF1">
              <w:t>75</w:t>
            </w:r>
          </w:p>
        </w:tc>
      </w:tr>
      <w:tr w:rsidR="00E61AB6" w:rsidRPr="00A27E99" w14:paraId="49C77C3B" w14:textId="77777777" w:rsidTr="00D513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491FCE36" w14:textId="77777777" w:rsidR="00E61AB6" w:rsidRPr="00325DF1" w:rsidRDefault="00E61AB6" w:rsidP="00D51340">
            <w:pPr>
              <w:spacing w:before="60" w:after="60"/>
              <w:rPr>
                <w:iCs/>
              </w:rPr>
            </w:pPr>
            <w:r w:rsidRPr="00325DF1">
              <w:t>14.1.2.2</w:t>
            </w:r>
          </w:p>
        </w:tc>
        <w:tc>
          <w:tcPr>
            <w:tcW w:w="4542" w:type="dxa"/>
            <w:vAlign w:val="center"/>
          </w:tcPr>
          <w:p w14:paraId="6436D458"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sidRPr="00325DF1">
              <w:t xml:space="preserve">Fruit </w:t>
            </w:r>
            <w:r>
              <w:t>and</w:t>
            </w:r>
            <w:r w:rsidRPr="00325DF1">
              <w:t xml:space="preserve"> vege</w:t>
            </w:r>
            <w:r>
              <w:t>table</w:t>
            </w:r>
            <w:r w:rsidRPr="00325DF1">
              <w:t xml:space="preserve"> juice products</w:t>
            </w:r>
          </w:p>
        </w:tc>
        <w:tc>
          <w:tcPr>
            <w:tcW w:w="3355" w:type="dxa"/>
            <w:vAlign w:val="center"/>
          </w:tcPr>
          <w:p w14:paraId="267D0EEF"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sidRPr="00325DF1">
              <w:t xml:space="preserve">Fruit </w:t>
            </w:r>
            <w:r>
              <w:t>and</w:t>
            </w:r>
            <w:r w:rsidRPr="00325DF1">
              <w:t xml:space="preserve"> vege</w:t>
            </w:r>
            <w:r>
              <w:t>table</w:t>
            </w:r>
            <w:r w:rsidRPr="00325DF1">
              <w:t xml:space="preserve"> juice products</w:t>
            </w:r>
          </w:p>
        </w:tc>
        <w:tc>
          <w:tcPr>
            <w:tcW w:w="1547" w:type="dxa"/>
            <w:vAlign w:val="center"/>
          </w:tcPr>
          <w:p w14:paraId="26B2ADEF"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t>100</w:t>
            </w:r>
          </w:p>
        </w:tc>
        <w:tc>
          <w:tcPr>
            <w:tcW w:w="1547" w:type="dxa"/>
            <w:vAlign w:val="center"/>
          </w:tcPr>
          <w:p w14:paraId="2FC76BC3"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t>50</w:t>
            </w:r>
          </w:p>
        </w:tc>
        <w:tc>
          <w:tcPr>
            <w:tcW w:w="1547" w:type="dxa"/>
            <w:vAlign w:val="center"/>
          </w:tcPr>
          <w:p w14:paraId="107DEBB0"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pPr>
            <w:r w:rsidRPr="00325DF1">
              <w:t>15</w:t>
            </w:r>
          </w:p>
        </w:tc>
      </w:tr>
      <w:tr w:rsidR="00E61AB6" w:rsidRPr="00A27E99" w14:paraId="0BA3A2E7" w14:textId="77777777" w:rsidTr="00D51340">
        <w:trPr>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04F5AD3E" w14:textId="77777777" w:rsidR="00E61AB6" w:rsidRPr="00325DF1" w:rsidRDefault="00E61AB6" w:rsidP="00D51340">
            <w:pPr>
              <w:spacing w:before="60" w:after="60"/>
              <w:rPr>
                <w:iCs/>
              </w:rPr>
            </w:pPr>
            <w:r w:rsidRPr="00325DF1">
              <w:t>14.1.3</w:t>
            </w:r>
          </w:p>
        </w:tc>
        <w:tc>
          <w:tcPr>
            <w:tcW w:w="4542" w:type="dxa"/>
            <w:vAlign w:val="center"/>
          </w:tcPr>
          <w:p w14:paraId="6003D3C7"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sidRPr="00325DF1">
              <w:t>Water</w:t>
            </w:r>
            <w:r>
              <w:t>-</w:t>
            </w:r>
            <w:r w:rsidRPr="00325DF1">
              <w:t>based flavoured drinks</w:t>
            </w:r>
          </w:p>
        </w:tc>
        <w:tc>
          <w:tcPr>
            <w:tcW w:w="3355" w:type="dxa"/>
            <w:vAlign w:val="center"/>
          </w:tcPr>
          <w:p w14:paraId="0DE0523C"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Pr>
                <w:iCs/>
              </w:rPr>
              <w:t>All liquid water-based flavoured drinks except powders, pre-packaged ready to drink iced teas, and brewed soft drinks</w:t>
            </w:r>
          </w:p>
        </w:tc>
        <w:tc>
          <w:tcPr>
            <w:tcW w:w="1547" w:type="dxa"/>
            <w:vAlign w:val="center"/>
          </w:tcPr>
          <w:p w14:paraId="71BF9293"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t>50</w:t>
            </w:r>
          </w:p>
        </w:tc>
        <w:tc>
          <w:tcPr>
            <w:tcW w:w="1547" w:type="dxa"/>
            <w:vAlign w:val="center"/>
          </w:tcPr>
          <w:p w14:paraId="5D66F5E1"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t>20</w:t>
            </w:r>
          </w:p>
        </w:tc>
        <w:tc>
          <w:tcPr>
            <w:tcW w:w="1547" w:type="dxa"/>
            <w:vAlign w:val="center"/>
          </w:tcPr>
          <w:p w14:paraId="51F3A8E8"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pPr>
            <w:r w:rsidRPr="00325DF1">
              <w:t>15</w:t>
            </w:r>
          </w:p>
        </w:tc>
      </w:tr>
      <w:tr w:rsidR="00E61AB6" w:rsidRPr="00A27E99" w14:paraId="397E5368" w14:textId="77777777" w:rsidTr="00D513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1FAD2A7F" w14:textId="77777777" w:rsidR="00E61AB6" w:rsidRPr="00325DF1" w:rsidRDefault="00E61AB6" w:rsidP="00D51340">
            <w:pPr>
              <w:spacing w:before="60" w:after="60"/>
              <w:rPr>
                <w:iCs/>
              </w:rPr>
            </w:pPr>
            <w:r w:rsidRPr="00325DF1">
              <w:t>14.1.3.1.2.1</w:t>
            </w:r>
          </w:p>
        </w:tc>
        <w:tc>
          <w:tcPr>
            <w:tcW w:w="4542" w:type="dxa"/>
            <w:vAlign w:val="center"/>
          </w:tcPr>
          <w:p w14:paraId="514414EA"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sidRPr="00325DF1">
              <w:t>Non-brewed soft drink, electrolyte</w:t>
            </w:r>
            <w:r>
              <w:t xml:space="preserve"> </w:t>
            </w:r>
            <w:r w:rsidRPr="00325DF1">
              <w:t>drink/</w:t>
            </w:r>
            <w:r>
              <w:t xml:space="preserve"> </w:t>
            </w:r>
            <w:r w:rsidRPr="00325DF1">
              <w:t>base,</w:t>
            </w:r>
            <w:r>
              <w:t xml:space="preserve"> </w:t>
            </w:r>
            <w:r w:rsidRPr="00325DF1">
              <w:t>powde</w:t>
            </w:r>
            <w:r>
              <w:t>r</w:t>
            </w:r>
          </w:p>
        </w:tc>
        <w:tc>
          <w:tcPr>
            <w:tcW w:w="3355" w:type="dxa"/>
            <w:vAlign w:val="center"/>
          </w:tcPr>
          <w:p w14:paraId="3BE3397D"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sidRPr="00325DF1">
              <w:rPr>
                <w:iCs/>
              </w:rPr>
              <w:t>Exclusions</w:t>
            </w:r>
          </w:p>
        </w:tc>
        <w:tc>
          <w:tcPr>
            <w:tcW w:w="1547" w:type="dxa"/>
            <w:vAlign w:val="center"/>
          </w:tcPr>
          <w:p w14:paraId="17213A24"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t>0</w:t>
            </w:r>
          </w:p>
        </w:tc>
        <w:tc>
          <w:tcPr>
            <w:tcW w:w="1547" w:type="dxa"/>
            <w:vAlign w:val="center"/>
          </w:tcPr>
          <w:p w14:paraId="70C046B9"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t>0</w:t>
            </w:r>
          </w:p>
        </w:tc>
        <w:tc>
          <w:tcPr>
            <w:tcW w:w="1547" w:type="dxa"/>
            <w:vAlign w:val="center"/>
          </w:tcPr>
          <w:p w14:paraId="1B662AA2"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pPr>
            <w:r w:rsidRPr="00325DF1">
              <w:t>0</w:t>
            </w:r>
          </w:p>
        </w:tc>
      </w:tr>
      <w:tr w:rsidR="00E61AB6" w:rsidRPr="00A27E99" w14:paraId="72C5189C" w14:textId="77777777" w:rsidTr="00D51340">
        <w:trPr>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3E528C5B" w14:textId="77777777" w:rsidR="00E61AB6" w:rsidRPr="00325DF1" w:rsidRDefault="00E61AB6" w:rsidP="00D51340">
            <w:pPr>
              <w:spacing w:before="60" w:after="60"/>
              <w:rPr>
                <w:iCs/>
              </w:rPr>
            </w:pPr>
            <w:r w:rsidRPr="00325DF1">
              <w:t>14.1.3.1.3.1</w:t>
            </w:r>
          </w:p>
        </w:tc>
        <w:tc>
          <w:tcPr>
            <w:tcW w:w="4542" w:type="dxa"/>
            <w:vAlign w:val="center"/>
          </w:tcPr>
          <w:p w14:paraId="7FDF5526"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sidRPr="00325DF1">
              <w:t>Non-brewed soft drinks, cordial powders</w:t>
            </w:r>
          </w:p>
        </w:tc>
        <w:tc>
          <w:tcPr>
            <w:tcW w:w="3355" w:type="dxa"/>
            <w:vAlign w:val="center"/>
          </w:tcPr>
          <w:p w14:paraId="35D287B2"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sidRPr="00325DF1">
              <w:rPr>
                <w:iCs/>
              </w:rPr>
              <w:t>Exclusions</w:t>
            </w:r>
          </w:p>
        </w:tc>
        <w:tc>
          <w:tcPr>
            <w:tcW w:w="1547" w:type="dxa"/>
            <w:vAlign w:val="center"/>
          </w:tcPr>
          <w:p w14:paraId="68AC78ED"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t>0</w:t>
            </w:r>
          </w:p>
        </w:tc>
        <w:tc>
          <w:tcPr>
            <w:tcW w:w="1547" w:type="dxa"/>
            <w:vAlign w:val="center"/>
          </w:tcPr>
          <w:p w14:paraId="3BA7FDF4"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t>0</w:t>
            </w:r>
          </w:p>
        </w:tc>
        <w:tc>
          <w:tcPr>
            <w:tcW w:w="1547" w:type="dxa"/>
            <w:vAlign w:val="center"/>
          </w:tcPr>
          <w:p w14:paraId="36C65C06"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pPr>
            <w:r w:rsidRPr="00325DF1">
              <w:t>0</w:t>
            </w:r>
          </w:p>
        </w:tc>
      </w:tr>
      <w:tr w:rsidR="00E61AB6" w:rsidRPr="00A27E99" w14:paraId="43BCA4A4" w14:textId="77777777" w:rsidTr="00D513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0E4E0EFD" w14:textId="77777777" w:rsidR="00E61AB6" w:rsidRPr="00325DF1" w:rsidRDefault="00E61AB6" w:rsidP="00D51340">
            <w:pPr>
              <w:spacing w:before="60" w:after="60"/>
              <w:rPr>
                <w:iCs/>
              </w:rPr>
            </w:pPr>
            <w:r w:rsidRPr="00325DF1">
              <w:t>14.1.3.1.4</w:t>
            </w:r>
          </w:p>
        </w:tc>
        <w:tc>
          <w:tcPr>
            <w:tcW w:w="4542" w:type="dxa"/>
            <w:vAlign w:val="center"/>
          </w:tcPr>
          <w:p w14:paraId="63A1AC31"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sidRPr="00325DF1">
              <w:t>Non-brewed soft drinks, iced tea, sold as ready to drink</w:t>
            </w:r>
          </w:p>
        </w:tc>
        <w:tc>
          <w:tcPr>
            <w:tcW w:w="3355" w:type="dxa"/>
            <w:vAlign w:val="center"/>
          </w:tcPr>
          <w:p w14:paraId="4C57BB0D"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Pr>
                <w:iCs/>
              </w:rPr>
              <w:t>Pre-packaged ready to drink teas</w:t>
            </w:r>
          </w:p>
        </w:tc>
        <w:tc>
          <w:tcPr>
            <w:tcW w:w="1547" w:type="dxa"/>
            <w:vAlign w:val="center"/>
          </w:tcPr>
          <w:p w14:paraId="5CAFC719"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t>20</w:t>
            </w:r>
          </w:p>
        </w:tc>
        <w:tc>
          <w:tcPr>
            <w:tcW w:w="1547" w:type="dxa"/>
            <w:vAlign w:val="center"/>
          </w:tcPr>
          <w:p w14:paraId="5E760111"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t>20</w:t>
            </w:r>
          </w:p>
        </w:tc>
        <w:tc>
          <w:tcPr>
            <w:tcW w:w="1547" w:type="dxa"/>
            <w:vAlign w:val="center"/>
          </w:tcPr>
          <w:p w14:paraId="7013D419"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pPr>
            <w:r w:rsidRPr="00325DF1">
              <w:t>5</w:t>
            </w:r>
          </w:p>
        </w:tc>
      </w:tr>
      <w:tr w:rsidR="00E61AB6" w:rsidRPr="00A27E99" w14:paraId="084DF428" w14:textId="77777777" w:rsidTr="00D51340">
        <w:trPr>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3704EE3D" w14:textId="77777777" w:rsidR="00E61AB6" w:rsidRPr="00325DF1" w:rsidRDefault="00E61AB6" w:rsidP="00D51340">
            <w:pPr>
              <w:spacing w:before="60" w:after="60"/>
              <w:rPr>
                <w:iCs/>
              </w:rPr>
            </w:pPr>
            <w:r w:rsidRPr="00325DF1">
              <w:t>14.1.3.2</w:t>
            </w:r>
          </w:p>
        </w:tc>
        <w:tc>
          <w:tcPr>
            <w:tcW w:w="4542" w:type="dxa"/>
            <w:vAlign w:val="center"/>
          </w:tcPr>
          <w:p w14:paraId="533458A6"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sidRPr="00325DF1">
              <w:t>Brewed soft drink</w:t>
            </w:r>
          </w:p>
        </w:tc>
        <w:tc>
          <w:tcPr>
            <w:tcW w:w="3355" w:type="dxa"/>
            <w:vAlign w:val="center"/>
          </w:tcPr>
          <w:p w14:paraId="1A39C4E1"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sidRPr="00325DF1">
              <w:t>Brewed soft drink</w:t>
            </w:r>
          </w:p>
        </w:tc>
        <w:tc>
          <w:tcPr>
            <w:tcW w:w="1547" w:type="dxa"/>
            <w:vAlign w:val="center"/>
          </w:tcPr>
          <w:p w14:paraId="3542A6C8"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t>50</w:t>
            </w:r>
          </w:p>
        </w:tc>
        <w:tc>
          <w:tcPr>
            <w:tcW w:w="1547" w:type="dxa"/>
            <w:vAlign w:val="center"/>
          </w:tcPr>
          <w:p w14:paraId="59052597"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t>30</w:t>
            </w:r>
          </w:p>
        </w:tc>
        <w:tc>
          <w:tcPr>
            <w:tcW w:w="1547" w:type="dxa"/>
            <w:vAlign w:val="center"/>
          </w:tcPr>
          <w:p w14:paraId="357FF104"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pPr>
            <w:r w:rsidRPr="00325DF1">
              <w:t>7</w:t>
            </w:r>
          </w:p>
        </w:tc>
      </w:tr>
      <w:tr w:rsidR="00E61AB6" w:rsidRPr="00A27E99" w14:paraId="4301EB04" w14:textId="77777777" w:rsidTr="00D513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319C63DF" w14:textId="77777777" w:rsidR="00E61AB6" w:rsidRPr="00325DF1" w:rsidRDefault="00E61AB6" w:rsidP="00D51340">
            <w:pPr>
              <w:spacing w:before="60" w:after="60"/>
              <w:rPr>
                <w:iCs/>
              </w:rPr>
            </w:pPr>
            <w:r w:rsidRPr="00325DF1">
              <w:t>14.1.4</w:t>
            </w:r>
          </w:p>
        </w:tc>
        <w:tc>
          <w:tcPr>
            <w:tcW w:w="4542" w:type="dxa"/>
            <w:vAlign w:val="center"/>
          </w:tcPr>
          <w:p w14:paraId="57B02479"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sidRPr="00325DF1">
              <w:t xml:space="preserve">Formulated </w:t>
            </w:r>
            <w:r>
              <w:t>b</w:t>
            </w:r>
            <w:r w:rsidRPr="00325DF1">
              <w:t>everages</w:t>
            </w:r>
          </w:p>
        </w:tc>
        <w:tc>
          <w:tcPr>
            <w:tcW w:w="3355" w:type="dxa"/>
            <w:vAlign w:val="center"/>
          </w:tcPr>
          <w:p w14:paraId="1B741438"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sidRPr="00325DF1">
              <w:t xml:space="preserve">Formulated </w:t>
            </w:r>
            <w:r>
              <w:t>b</w:t>
            </w:r>
            <w:r w:rsidRPr="00325DF1">
              <w:t>everages</w:t>
            </w:r>
          </w:p>
        </w:tc>
        <w:tc>
          <w:tcPr>
            <w:tcW w:w="1547" w:type="dxa"/>
            <w:vAlign w:val="center"/>
          </w:tcPr>
          <w:p w14:paraId="4F386F26"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t>20</w:t>
            </w:r>
          </w:p>
        </w:tc>
        <w:tc>
          <w:tcPr>
            <w:tcW w:w="1547" w:type="dxa"/>
            <w:vAlign w:val="center"/>
          </w:tcPr>
          <w:p w14:paraId="430CF798"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t>20</w:t>
            </w:r>
          </w:p>
        </w:tc>
        <w:tc>
          <w:tcPr>
            <w:tcW w:w="1547" w:type="dxa"/>
            <w:vAlign w:val="center"/>
          </w:tcPr>
          <w:p w14:paraId="6383668C"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t>5</w:t>
            </w:r>
          </w:p>
        </w:tc>
      </w:tr>
      <w:tr w:rsidR="00E61AB6" w:rsidRPr="00A27E99" w14:paraId="7E5BDD6C" w14:textId="77777777" w:rsidTr="00D51340">
        <w:trPr>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3BA1D058" w14:textId="77777777" w:rsidR="00E61AB6" w:rsidRPr="00325DF1" w:rsidRDefault="00E61AB6" w:rsidP="00D51340">
            <w:pPr>
              <w:spacing w:before="60" w:after="60"/>
              <w:rPr>
                <w:iCs/>
              </w:rPr>
            </w:pPr>
            <w:r w:rsidRPr="00325DF1">
              <w:t>14.1.5</w:t>
            </w:r>
          </w:p>
        </w:tc>
        <w:tc>
          <w:tcPr>
            <w:tcW w:w="4542" w:type="dxa"/>
            <w:vAlign w:val="center"/>
          </w:tcPr>
          <w:p w14:paraId="49C29C48"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sidRPr="00325DF1">
              <w:t>Coffee (or substitute), tea, herbal infusion</w:t>
            </w:r>
            <w:r>
              <w:t>s</w:t>
            </w:r>
            <w:r w:rsidRPr="00325DF1">
              <w:t xml:space="preserve"> &amp; similar</w:t>
            </w:r>
          </w:p>
        </w:tc>
        <w:tc>
          <w:tcPr>
            <w:tcW w:w="3355" w:type="dxa"/>
            <w:vAlign w:val="center"/>
          </w:tcPr>
          <w:p w14:paraId="49F2479A" w14:textId="77777777" w:rsidR="00E61AB6" w:rsidRPr="00325DF1" w:rsidRDefault="00E61AB6" w:rsidP="00D51340">
            <w:pPr>
              <w:spacing w:before="60" w:after="60"/>
              <w:cnfStyle w:val="000000000000" w:firstRow="0" w:lastRow="0" w:firstColumn="0" w:lastColumn="0" w:oddVBand="0" w:evenVBand="0" w:oddHBand="0" w:evenHBand="0" w:firstRowFirstColumn="0" w:firstRowLastColumn="0" w:lastRowFirstColumn="0" w:lastRowLastColumn="0"/>
              <w:rPr>
                <w:iCs/>
              </w:rPr>
            </w:pPr>
            <w:r w:rsidRPr="00325DF1">
              <w:rPr>
                <w:iCs/>
              </w:rPr>
              <w:t>Exclusions</w:t>
            </w:r>
          </w:p>
        </w:tc>
        <w:tc>
          <w:tcPr>
            <w:tcW w:w="1547" w:type="dxa"/>
            <w:vAlign w:val="center"/>
          </w:tcPr>
          <w:p w14:paraId="6EB1C9CA"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t>0</w:t>
            </w:r>
          </w:p>
        </w:tc>
        <w:tc>
          <w:tcPr>
            <w:tcW w:w="1547" w:type="dxa"/>
            <w:vAlign w:val="center"/>
          </w:tcPr>
          <w:p w14:paraId="35974B56"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t>0</w:t>
            </w:r>
          </w:p>
        </w:tc>
        <w:tc>
          <w:tcPr>
            <w:tcW w:w="1547" w:type="dxa"/>
            <w:vAlign w:val="center"/>
          </w:tcPr>
          <w:p w14:paraId="0831ECF3" w14:textId="77777777" w:rsidR="00E61AB6" w:rsidRPr="00325DF1" w:rsidRDefault="00E61AB6" w:rsidP="00D51340">
            <w:pPr>
              <w:tabs>
                <w:tab w:val="decimal" w:pos="928"/>
              </w:tabs>
              <w:spacing w:before="60" w:after="60"/>
              <w:cnfStyle w:val="000000000000" w:firstRow="0" w:lastRow="0" w:firstColumn="0" w:lastColumn="0" w:oddVBand="0" w:evenVBand="0" w:oddHBand="0" w:evenHBand="0" w:firstRowFirstColumn="0" w:firstRowLastColumn="0" w:lastRowFirstColumn="0" w:lastRowLastColumn="0"/>
              <w:rPr>
                <w:iCs/>
              </w:rPr>
            </w:pPr>
            <w:r w:rsidRPr="00325DF1">
              <w:t>0</w:t>
            </w:r>
          </w:p>
        </w:tc>
      </w:tr>
      <w:tr w:rsidR="00E61AB6" w:rsidRPr="00A27E99" w14:paraId="7F91F55F" w14:textId="77777777" w:rsidTr="00D513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0" w:type="dxa"/>
            <w:vAlign w:val="center"/>
          </w:tcPr>
          <w:p w14:paraId="254A6C73" w14:textId="77777777" w:rsidR="00E61AB6" w:rsidRPr="00325DF1" w:rsidRDefault="00E61AB6" w:rsidP="00D51340">
            <w:pPr>
              <w:spacing w:before="60" w:after="60"/>
              <w:rPr>
                <w:iCs/>
              </w:rPr>
            </w:pPr>
            <w:r w:rsidRPr="00325DF1">
              <w:t>14.2.1.1</w:t>
            </w:r>
          </w:p>
        </w:tc>
        <w:tc>
          <w:tcPr>
            <w:tcW w:w="4542" w:type="dxa"/>
            <w:vAlign w:val="center"/>
          </w:tcPr>
          <w:p w14:paraId="332F4721"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sidRPr="00325DF1">
              <w:t>Low alcohol beers</w:t>
            </w:r>
          </w:p>
        </w:tc>
        <w:tc>
          <w:tcPr>
            <w:tcW w:w="3355" w:type="dxa"/>
            <w:vAlign w:val="center"/>
          </w:tcPr>
          <w:p w14:paraId="37C87E2D" w14:textId="77777777" w:rsidR="00E61AB6" w:rsidRPr="00325DF1" w:rsidRDefault="00E61AB6" w:rsidP="00D51340">
            <w:pPr>
              <w:spacing w:before="60" w:after="60"/>
              <w:cnfStyle w:val="000000100000" w:firstRow="0" w:lastRow="0" w:firstColumn="0" w:lastColumn="0" w:oddVBand="0" w:evenVBand="0" w:oddHBand="1" w:evenHBand="0" w:firstRowFirstColumn="0" w:firstRowLastColumn="0" w:lastRowFirstColumn="0" w:lastRowLastColumn="0"/>
              <w:rPr>
                <w:iCs/>
              </w:rPr>
            </w:pPr>
            <w:r w:rsidRPr="00325DF1">
              <w:t>Low alcohol beers</w:t>
            </w:r>
          </w:p>
        </w:tc>
        <w:tc>
          <w:tcPr>
            <w:tcW w:w="1547" w:type="dxa"/>
            <w:vAlign w:val="center"/>
          </w:tcPr>
          <w:p w14:paraId="219D5F3D"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t>100</w:t>
            </w:r>
          </w:p>
        </w:tc>
        <w:tc>
          <w:tcPr>
            <w:tcW w:w="1547" w:type="dxa"/>
            <w:vAlign w:val="center"/>
          </w:tcPr>
          <w:p w14:paraId="2D5B674D"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t>100</w:t>
            </w:r>
          </w:p>
        </w:tc>
        <w:tc>
          <w:tcPr>
            <w:tcW w:w="1547" w:type="dxa"/>
            <w:vAlign w:val="center"/>
          </w:tcPr>
          <w:p w14:paraId="2696BB08" w14:textId="77777777" w:rsidR="00E61AB6" w:rsidRPr="00325DF1" w:rsidRDefault="00E61AB6" w:rsidP="00D51340">
            <w:pPr>
              <w:tabs>
                <w:tab w:val="decimal" w:pos="928"/>
              </w:tabs>
              <w:spacing w:before="60" w:after="60"/>
              <w:cnfStyle w:val="000000100000" w:firstRow="0" w:lastRow="0" w:firstColumn="0" w:lastColumn="0" w:oddVBand="0" w:evenVBand="0" w:oddHBand="1" w:evenHBand="0" w:firstRowFirstColumn="0" w:firstRowLastColumn="0" w:lastRowFirstColumn="0" w:lastRowLastColumn="0"/>
              <w:rPr>
                <w:iCs/>
              </w:rPr>
            </w:pPr>
            <w:r w:rsidRPr="00325DF1">
              <w:t>100</w:t>
            </w:r>
          </w:p>
        </w:tc>
      </w:tr>
    </w:tbl>
    <w:p w14:paraId="674E43CE" w14:textId="28827024" w:rsidR="00F94C8F" w:rsidRDefault="00F94C8F" w:rsidP="00E61AB6">
      <w:pPr>
        <w:sectPr w:rsidR="00F94C8F" w:rsidSect="00E61AB6">
          <w:pgSz w:w="16838" w:h="11906" w:orient="landscape" w:code="9"/>
          <w:pgMar w:top="1418" w:right="1418" w:bottom="1418" w:left="1418" w:header="510" w:footer="346" w:gutter="0"/>
          <w:cols w:space="708"/>
          <w:docGrid w:linePitch="360"/>
        </w:sectPr>
      </w:pPr>
    </w:p>
    <w:p w14:paraId="41CC160F" w14:textId="3177B310" w:rsidR="001C59CB" w:rsidRDefault="001C59CB" w:rsidP="00E61AB6">
      <w:pPr>
        <w:pStyle w:val="Heading2"/>
        <w:ind w:left="0" w:firstLine="0"/>
      </w:pPr>
      <w:bookmarkStart w:id="158" w:name="_Toc43217068"/>
      <w:bookmarkStart w:id="159" w:name="_Toc44401553"/>
      <w:bookmarkStart w:id="160" w:name="_Toc45284305"/>
      <w:bookmarkStart w:id="161" w:name="_Toc46929428"/>
      <w:bookmarkEnd w:id="156"/>
      <w:bookmarkEnd w:id="157"/>
      <w:r>
        <w:t xml:space="preserve">5.4 </w:t>
      </w:r>
      <w:r w:rsidRPr="001C59CB">
        <w:t>Population</w:t>
      </w:r>
      <w:r>
        <w:t xml:space="preserve"> groups assessed</w:t>
      </w:r>
      <w:bookmarkEnd w:id="158"/>
      <w:bookmarkEnd w:id="159"/>
      <w:bookmarkEnd w:id="160"/>
      <w:bookmarkEnd w:id="161"/>
    </w:p>
    <w:p w14:paraId="4D770C20" w14:textId="2A5BAA82" w:rsidR="001C59CB" w:rsidRPr="00E224B4" w:rsidRDefault="001C59CB" w:rsidP="001C59CB">
      <w:r w:rsidRPr="002A190D">
        <w:t>The hazard identification and characterisation</w:t>
      </w:r>
      <w:r>
        <w:t xml:space="preserve"> for </w:t>
      </w:r>
      <w:r w:rsidR="004C28B5">
        <w:t>j</w:t>
      </w:r>
      <w:r w:rsidR="005F7B7D">
        <w:t>elly mushroom glycolipids</w:t>
      </w:r>
      <w:r w:rsidRPr="002A190D">
        <w:t xml:space="preserve"> did not identify any population sub-groups for which there were specific safety considerations.</w:t>
      </w:r>
      <w:r>
        <w:t xml:space="preserve"> T</w:t>
      </w:r>
      <w:r w:rsidRPr="00C439CB">
        <w:t xml:space="preserve">he food </w:t>
      </w:r>
      <w:r w:rsidR="00A77A91">
        <w:t>classes</w:t>
      </w:r>
      <w:r w:rsidR="00A77A91" w:rsidRPr="00C439CB">
        <w:t xml:space="preserve"> </w:t>
      </w:r>
      <w:r w:rsidRPr="00C439CB">
        <w:t xml:space="preserve">requested in the Application for addition of </w:t>
      </w:r>
      <w:r w:rsidR="004C28B5">
        <w:t>j</w:t>
      </w:r>
      <w:r w:rsidR="005F7B7D">
        <w:t>elly mushroom glycolipids</w:t>
      </w:r>
      <w:r w:rsidRPr="00C439CB">
        <w:t xml:space="preserve"> are consumed by </w:t>
      </w:r>
      <w:r>
        <w:t xml:space="preserve">most </w:t>
      </w:r>
      <w:r w:rsidRPr="0089423F">
        <w:t>of</w:t>
      </w:r>
      <w:r w:rsidRPr="00C439CB">
        <w:t xml:space="preserve"> the Australian and New Zealand </w:t>
      </w:r>
      <w:r w:rsidRPr="006B3251">
        <w:t>populations. The</w:t>
      </w:r>
      <w:r>
        <w:t>refore, the whole survey</w:t>
      </w:r>
      <w:r w:rsidRPr="006B3251">
        <w:t xml:space="preserve"> population </w:t>
      </w:r>
      <w:r>
        <w:t xml:space="preserve">from each of the nutrition surveys </w:t>
      </w:r>
      <w:r w:rsidRPr="00CF3694">
        <w:t>were used for the dietary e</w:t>
      </w:r>
      <w:r>
        <w:t>xposure</w:t>
      </w:r>
      <w:r w:rsidRPr="00CF3694">
        <w:t xml:space="preserve"> assessment</w:t>
      </w:r>
      <w:r>
        <w:t xml:space="preserve">. The ratio of consumers </w:t>
      </w:r>
      <w:r w:rsidR="00B956D2">
        <w:t xml:space="preserve">of </w:t>
      </w:r>
      <w:r w:rsidR="004C28B5">
        <w:t>j</w:t>
      </w:r>
      <w:r w:rsidR="00B956D2">
        <w:t xml:space="preserve">elly mushroom glycolipids </w:t>
      </w:r>
      <w:r>
        <w:t>to</w:t>
      </w:r>
      <w:r w:rsidR="00B956D2">
        <w:t xml:space="preserve"> all survey</w:t>
      </w:r>
      <w:r>
        <w:t xml:space="preserve"> respondents for </w:t>
      </w:r>
      <w:r w:rsidR="00B956D2">
        <w:t xml:space="preserve">the estimated </w:t>
      </w:r>
      <w:r>
        <w:t xml:space="preserve">dietary exposures </w:t>
      </w:r>
      <w:r w:rsidR="00B956D2">
        <w:t>are</w:t>
      </w:r>
      <w:r>
        <w:t xml:space="preserve"> present</w:t>
      </w:r>
      <w:r w:rsidR="00B956D2">
        <w:t>ed</w:t>
      </w:r>
      <w:r>
        <w:t xml:space="preserve"> </w:t>
      </w:r>
      <w:r>
        <w:fldChar w:fldCharType="begin"/>
      </w:r>
      <w:r>
        <w:instrText xml:space="preserve"> REF _Ref42094776 \p \h </w:instrText>
      </w:r>
      <w:r>
        <w:fldChar w:fldCharType="separate"/>
      </w:r>
      <w:r w:rsidR="00E202C8">
        <w:t>below</w:t>
      </w:r>
      <w:r>
        <w:fldChar w:fldCharType="end"/>
      </w:r>
      <w:r>
        <w:t xml:space="preserve"> </w:t>
      </w:r>
      <w:r w:rsidRPr="00E224B4">
        <w:t>in</w:t>
      </w:r>
      <w:r w:rsidR="00AB3E19">
        <w:t xml:space="preserve"> Table 6</w:t>
      </w:r>
      <w:r w:rsidRPr="00E224B4">
        <w:t>.</w:t>
      </w:r>
    </w:p>
    <w:p w14:paraId="38844830" w14:textId="1F732FA4" w:rsidR="001C59CB" w:rsidRDefault="00C931D4" w:rsidP="000D20BD">
      <w:pPr>
        <w:pStyle w:val="Heading2"/>
      </w:pPr>
      <w:bookmarkStart w:id="162" w:name="_Toc43217071"/>
      <w:bookmarkStart w:id="163" w:name="_Toc44401556"/>
      <w:bookmarkStart w:id="164" w:name="_Toc45284308"/>
      <w:bookmarkStart w:id="165" w:name="_Toc46929429"/>
      <w:r>
        <w:t>5.5</w:t>
      </w:r>
      <w:r w:rsidR="001C59CB">
        <w:t xml:space="preserve"> Estimated dietary exposures to </w:t>
      </w:r>
      <w:bookmarkEnd w:id="162"/>
      <w:r w:rsidR="004C28B5">
        <w:t>j</w:t>
      </w:r>
      <w:r w:rsidR="005F7B7D">
        <w:t>elly mushroom glycolipids</w:t>
      </w:r>
      <w:bookmarkEnd w:id="163"/>
      <w:bookmarkEnd w:id="164"/>
      <w:bookmarkEnd w:id="165"/>
    </w:p>
    <w:p w14:paraId="45D23B12" w14:textId="750111F8" w:rsidR="001C59CB" w:rsidRDefault="001C59CB" w:rsidP="001C59CB">
      <w:pPr>
        <w:rPr>
          <w:lang w:eastAsia="en-AU"/>
        </w:rPr>
      </w:pPr>
      <w:r>
        <w:rPr>
          <w:lang w:eastAsia="en-AU"/>
        </w:rPr>
        <w:t xml:space="preserve">Over 60% of the New Zealand and Australian populations are estimated to be exposed to </w:t>
      </w:r>
      <w:r w:rsidR="004C28B5">
        <w:t>j</w:t>
      </w:r>
      <w:r w:rsidR="005F7B7D">
        <w:t>elly mushroom glycolipids</w:t>
      </w:r>
      <w:r>
        <w:rPr>
          <w:lang w:eastAsia="en-AU"/>
        </w:rPr>
        <w:t xml:space="preserve"> through the consumption of non-alcoholic beverages. Approximately 73% of New Zealand children aged 5-14</w:t>
      </w:r>
      <w:r w:rsidR="00E224B4">
        <w:rPr>
          <w:lang w:eastAsia="en-AU"/>
        </w:rPr>
        <w:t> </w:t>
      </w:r>
      <w:r>
        <w:rPr>
          <w:lang w:eastAsia="en-AU"/>
        </w:rPr>
        <w:t>years an</w:t>
      </w:r>
      <w:r w:rsidR="00E224B4">
        <w:rPr>
          <w:lang w:eastAsia="en-AU"/>
        </w:rPr>
        <w:t>d 66% of New Zealanders aged 15 </w:t>
      </w:r>
      <w:r>
        <w:rPr>
          <w:lang w:eastAsia="en-AU"/>
        </w:rPr>
        <w:t>years and above</w:t>
      </w:r>
      <w:r w:rsidRPr="0026106A">
        <w:rPr>
          <w:lang w:eastAsia="en-AU"/>
        </w:rPr>
        <w:t xml:space="preserve"> </w:t>
      </w:r>
      <w:r>
        <w:rPr>
          <w:lang w:eastAsia="en-AU"/>
        </w:rPr>
        <w:t xml:space="preserve">are estimated to be exposed to these substances. If the two days of food consumption data are used to estimate the proportion of Australians aged </w:t>
      </w:r>
      <w:r w:rsidR="00E224B4">
        <w:rPr>
          <w:lang w:eastAsia="en-AU"/>
        </w:rPr>
        <w:t>2 </w:t>
      </w:r>
      <w:r>
        <w:rPr>
          <w:lang w:eastAsia="en-AU"/>
        </w:rPr>
        <w:t>years and above who will be consumers of these substances, the estimate is 74% of the population being consumers; if only one day of consumption data are used (as in the New Zealand assessment), the estimate is 69%.</w:t>
      </w:r>
    </w:p>
    <w:p w14:paraId="691EB9D3" w14:textId="77777777" w:rsidR="001C59CB" w:rsidRDefault="001C59CB" w:rsidP="001C59CB">
      <w:pPr>
        <w:rPr>
          <w:lang w:eastAsia="en-AU"/>
        </w:rPr>
      </w:pPr>
    </w:p>
    <w:p w14:paraId="2D30EF04" w14:textId="7DE55832" w:rsidR="001C59CB" w:rsidRDefault="001C59CB" w:rsidP="001C59CB">
      <w:pPr>
        <w:rPr>
          <w:lang w:eastAsia="en-AU"/>
        </w:rPr>
      </w:pPr>
      <w:r>
        <w:rPr>
          <w:lang w:eastAsia="en-AU"/>
        </w:rPr>
        <w:t xml:space="preserve">The mean and P90 consumer dietary exposures to </w:t>
      </w:r>
      <w:r w:rsidR="004C28B5">
        <w:rPr>
          <w:lang w:eastAsia="en-AU"/>
        </w:rPr>
        <w:t>j</w:t>
      </w:r>
      <w:r w:rsidR="005F7B7D">
        <w:t>elly mushroom glycolipids</w:t>
      </w:r>
      <w:r>
        <w:rPr>
          <w:lang w:eastAsia="en-AU"/>
        </w:rPr>
        <w:t xml:space="preserve"> for Australians aged 2 years and above range </w:t>
      </w:r>
      <w:r w:rsidR="000C0333">
        <w:rPr>
          <w:lang w:eastAsia="en-AU"/>
        </w:rPr>
        <w:t xml:space="preserve">between </w:t>
      </w:r>
      <w:r>
        <w:rPr>
          <w:lang w:eastAsia="en-AU"/>
        </w:rPr>
        <w:t>0.20 – 0</w:t>
      </w:r>
      <w:r w:rsidR="00E224B4">
        <w:rPr>
          <w:lang w:eastAsia="en-AU"/>
        </w:rPr>
        <w:t>.46 mg/kg bw/day and 0.45 – 1.0 </w:t>
      </w:r>
      <w:r>
        <w:rPr>
          <w:lang w:eastAsia="en-AU"/>
        </w:rPr>
        <w:t xml:space="preserve">mg/kg bw/day, respectively depending on the scenario. The lower end of the range is for the </w:t>
      </w:r>
      <w:r>
        <w:rPr>
          <w:i/>
          <w:lang w:eastAsia="en-AU"/>
        </w:rPr>
        <w:t>Usual Use</w:t>
      </w:r>
      <w:r>
        <w:rPr>
          <w:lang w:eastAsia="en-AU"/>
        </w:rPr>
        <w:t xml:space="preserve"> scenario, with the upper end of the range being for the </w:t>
      </w:r>
      <w:r>
        <w:rPr>
          <w:i/>
          <w:lang w:eastAsia="en-AU"/>
        </w:rPr>
        <w:t>General MPL</w:t>
      </w:r>
      <w:r>
        <w:rPr>
          <w:lang w:eastAsia="en-AU"/>
        </w:rPr>
        <w:t xml:space="preserve"> scenario.</w:t>
      </w:r>
    </w:p>
    <w:p w14:paraId="53F67EFF" w14:textId="77777777" w:rsidR="001C59CB" w:rsidRDefault="001C59CB" w:rsidP="001C59CB">
      <w:pPr>
        <w:rPr>
          <w:lang w:eastAsia="en-AU"/>
        </w:rPr>
      </w:pPr>
    </w:p>
    <w:p w14:paraId="494E3F40" w14:textId="6F4D8919" w:rsidR="001C59CB" w:rsidRDefault="001C59CB" w:rsidP="001C59CB">
      <w:pPr>
        <w:rPr>
          <w:lang w:eastAsia="en-AU"/>
        </w:rPr>
      </w:pPr>
      <w:r>
        <w:rPr>
          <w:lang w:eastAsia="en-AU"/>
        </w:rPr>
        <w:t>For</w:t>
      </w:r>
      <w:r w:rsidR="00E224B4">
        <w:rPr>
          <w:lang w:eastAsia="en-AU"/>
        </w:rPr>
        <w:t xml:space="preserve"> </w:t>
      </w:r>
      <w:r w:rsidR="004C28B5">
        <w:t>j</w:t>
      </w:r>
      <w:r w:rsidR="005F7B7D">
        <w:t>elly mushroom glycolipids</w:t>
      </w:r>
      <w:r>
        <w:rPr>
          <w:lang w:eastAsia="en-AU"/>
        </w:rPr>
        <w:t xml:space="preserve"> </w:t>
      </w:r>
      <w:r w:rsidR="00816D83">
        <w:rPr>
          <w:lang w:eastAsia="en-AU"/>
        </w:rPr>
        <w:t xml:space="preserve">New </w:t>
      </w:r>
      <w:r>
        <w:rPr>
          <w:lang w:eastAsia="en-AU"/>
        </w:rPr>
        <w:t>Zealanders aged 5-14</w:t>
      </w:r>
      <w:r w:rsidR="00E224B4">
        <w:rPr>
          <w:lang w:eastAsia="en-AU"/>
        </w:rPr>
        <w:t> </w:t>
      </w:r>
      <w:r>
        <w:rPr>
          <w:lang w:eastAsia="en-AU"/>
        </w:rPr>
        <w:t xml:space="preserve">years, the mean and P90 consumer dietary exposures to </w:t>
      </w:r>
      <w:r w:rsidR="004C28B5">
        <w:t>j</w:t>
      </w:r>
      <w:r w:rsidR="005F7B7D">
        <w:t>elly mushroom glycolipids</w:t>
      </w:r>
      <w:r>
        <w:rPr>
          <w:lang w:eastAsia="en-AU"/>
        </w:rPr>
        <w:t xml:space="preserve"> range </w:t>
      </w:r>
      <w:r w:rsidR="000C0333">
        <w:rPr>
          <w:lang w:eastAsia="en-AU"/>
        </w:rPr>
        <w:t xml:space="preserve">between </w:t>
      </w:r>
      <w:r>
        <w:rPr>
          <w:lang w:eastAsia="en-AU"/>
        </w:rPr>
        <w:t>0.34 – 0</w:t>
      </w:r>
      <w:r w:rsidR="00E224B4">
        <w:rPr>
          <w:lang w:eastAsia="en-AU"/>
        </w:rPr>
        <w:t>.67 mg/kg bw/day and 0.86 – 1.5 </w:t>
      </w:r>
      <w:r>
        <w:rPr>
          <w:lang w:eastAsia="en-AU"/>
        </w:rPr>
        <w:t xml:space="preserve">mg/kg bw/day, respectively. The mean and P90 consumer dietary exposures for New Zealanders aged 15 years and above range </w:t>
      </w:r>
      <w:r w:rsidR="000C0333">
        <w:rPr>
          <w:lang w:eastAsia="en-AU"/>
        </w:rPr>
        <w:t xml:space="preserve">between </w:t>
      </w:r>
      <w:r>
        <w:rPr>
          <w:lang w:eastAsia="en-AU"/>
        </w:rPr>
        <w:t>0.19 – 0.38</w:t>
      </w:r>
      <w:r w:rsidR="00E224B4">
        <w:rPr>
          <w:lang w:eastAsia="en-AU"/>
        </w:rPr>
        <w:t> </w:t>
      </w:r>
      <w:r>
        <w:rPr>
          <w:lang w:eastAsia="en-AU"/>
        </w:rPr>
        <w:t xml:space="preserve">mg/kg bw/day and 0.44 – </w:t>
      </w:r>
      <w:r w:rsidRPr="00036CB8">
        <w:t>0.87</w:t>
      </w:r>
      <w:r w:rsidR="00E224B4">
        <w:t> </w:t>
      </w:r>
      <w:r>
        <w:t xml:space="preserve">mg/kg bw/day, </w:t>
      </w:r>
      <w:r>
        <w:rPr>
          <w:lang w:eastAsia="en-AU"/>
        </w:rPr>
        <w:t>respectively.</w:t>
      </w:r>
    </w:p>
    <w:p w14:paraId="798CA425" w14:textId="77777777" w:rsidR="001C59CB" w:rsidRDefault="001C59CB" w:rsidP="001C59CB"/>
    <w:p w14:paraId="59DD4913" w14:textId="7B398813" w:rsidR="001C59CB" w:rsidRDefault="001C59CB" w:rsidP="001C59CB">
      <w:r>
        <w:t xml:space="preserve">The highest mean consumer dietary exposure to </w:t>
      </w:r>
      <w:r w:rsidR="004C28B5">
        <w:t>j</w:t>
      </w:r>
      <w:r w:rsidR="005F7B7D">
        <w:t>elly mushroom glycolipids</w:t>
      </w:r>
      <w:r>
        <w:t xml:space="preserve"> is for the population group of</w:t>
      </w:r>
      <w:r w:rsidR="00E224B4">
        <w:t xml:space="preserve"> New Zealand children aged 5-14 </w:t>
      </w:r>
      <w:r>
        <w:t xml:space="preserve">years, at </w:t>
      </w:r>
      <w:r w:rsidRPr="00036CB8">
        <w:t>0.</w:t>
      </w:r>
      <w:r w:rsidR="00E224B4">
        <w:t>67 </w:t>
      </w:r>
      <w:r>
        <w:t xml:space="preserve">mg/kg bw/day for the </w:t>
      </w:r>
      <w:r>
        <w:rPr>
          <w:i/>
        </w:rPr>
        <w:t>General MPL</w:t>
      </w:r>
      <w:r>
        <w:t xml:space="preserve"> scenario.</w:t>
      </w:r>
    </w:p>
    <w:p w14:paraId="6545E9E4" w14:textId="77777777" w:rsidR="001C59CB" w:rsidRDefault="001C59CB" w:rsidP="001C59CB"/>
    <w:p w14:paraId="19493B0A" w14:textId="0BCBB65F" w:rsidR="001C59CB" w:rsidRPr="00E224B4" w:rsidRDefault="001C59CB" w:rsidP="001C59CB">
      <w:pPr>
        <w:rPr>
          <w:lang w:eastAsia="en-AU"/>
        </w:rPr>
      </w:pPr>
      <w:r w:rsidRPr="00E224B4">
        <w:rPr>
          <w:lang w:eastAsia="en-AU"/>
        </w:rPr>
        <w:t>See</w:t>
      </w:r>
      <w:r w:rsidR="00AB3E19">
        <w:rPr>
          <w:b/>
          <w:lang w:eastAsia="en-AU"/>
        </w:rPr>
        <w:t xml:space="preserve"> Table 6</w:t>
      </w:r>
      <w:r w:rsidRPr="00E224B4">
        <w:rPr>
          <w:lang w:eastAsia="en-AU"/>
        </w:rPr>
        <w:t xml:space="preserve"> and </w:t>
      </w:r>
      <w:r w:rsidRPr="00456F82">
        <w:rPr>
          <w:b/>
          <w:lang w:eastAsia="en-AU"/>
        </w:rPr>
        <w:t xml:space="preserve">Figure </w:t>
      </w:r>
      <w:r w:rsidR="00AB3E19">
        <w:rPr>
          <w:b/>
          <w:lang w:eastAsia="en-AU"/>
        </w:rPr>
        <w:t>7</w:t>
      </w:r>
      <w:r w:rsidRPr="00E224B4">
        <w:rPr>
          <w:lang w:eastAsia="en-AU"/>
        </w:rPr>
        <w:t xml:space="preserve"> for further details.</w:t>
      </w:r>
    </w:p>
    <w:p w14:paraId="59160074" w14:textId="77777777" w:rsidR="001C59CB" w:rsidRDefault="001C59CB" w:rsidP="001C59CB">
      <w:pPr>
        <w:rPr>
          <w:lang w:eastAsia="en-AU"/>
        </w:rPr>
      </w:pPr>
    </w:p>
    <w:tbl>
      <w:tblPr>
        <w:tblStyle w:val="GridTable4-Accent5"/>
        <w:tblW w:w="5000" w:type="pct"/>
        <w:tblLayout w:type="fixed"/>
        <w:tblLook w:val="04A0" w:firstRow="1" w:lastRow="0" w:firstColumn="1" w:lastColumn="0" w:noHBand="0" w:noVBand="1"/>
        <w:tblDescription w:val="Estimated dietary exposures to Natural Glycolipids for Australians aged 2 years and above and New Zealanders aged 5-14 years and 15 years and above expressed in mg/kg bw/day. The dietary exposures were assessed at both the Mean and P90 for all scenarios; General MPL, Specific MPL and Usual Use levels."/>
      </w:tblPr>
      <w:tblGrid>
        <w:gridCol w:w="1290"/>
        <w:gridCol w:w="1484"/>
        <w:gridCol w:w="1341"/>
        <w:gridCol w:w="45"/>
        <w:gridCol w:w="818"/>
        <w:gridCol w:w="820"/>
        <w:gridCol w:w="818"/>
        <w:gridCol w:w="820"/>
        <w:gridCol w:w="818"/>
        <w:gridCol w:w="816"/>
      </w:tblGrid>
      <w:tr w:rsidR="002746B1" w:rsidRPr="00036CB8" w14:paraId="30745287" w14:textId="77777777" w:rsidTr="002746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nil"/>
              <w:left w:val="nil"/>
              <w:bottom w:val="single" w:sz="4" w:space="0" w:color="4BACC6" w:themeColor="accent5"/>
              <w:right w:val="nil"/>
            </w:tcBorders>
            <w:shd w:val="clear" w:color="auto" w:fill="auto"/>
            <w:vAlign w:val="center"/>
          </w:tcPr>
          <w:p w14:paraId="7E5F7E11" w14:textId="41DB9E74" w:rsidR="002746B1" w:rsidRPr="00CC4BD5" w:rsidRDefault="002746B1" w:rsidP="00CC4BD5">
            <w:pPr>
              <w:pStyle w:val="FSTableTitle"/>
              <w:keepNext/>
              <w:keepLines/>
              <w:rPr>
                <w:b/>
                <w:color w:val="auto"/>
              </w:rPr>
            </w:pPr>
            <w:bookmarkStart w:id="166" w:name="_Ref42094767"/>
            <w:bookmarkStart w:id="167" w:name="_Ref42094776"/>
            <w:r w:rsidRPr="00CC4BD5">
              <w:rPr>
                <w:b/>
                <w:color w:val="auto"/>
              </w:rPr>
              <w:t xml:space="preserve">Table </w:t>
            </w:r>
            <w:r w:rsidRPr="00CC4BD5">
              <w:fldChar w:fldCharType="begin"/>
            </w:r>
            <w:r w:rsidRPr="00CC4BD5">
              <w:rPr>
                <w:b/>
                <w:color w:val="auto"/>
              </w:rPr>
              <w:instrText xml:space="preserve"> SEQ Table \* ARABIC </w:instrText>
            </w:r>
            <w:r w:rsidRPr="00CC4BD5">
              <w:fldChar w:fldCharType="separate"/>
            </w:r>
            <w:r w:rsidR="00E202C8">
              <w:rPr>
                <w:b/>
                <w:noProof/>
                <w:color w:val="auto"/>
              </w:rPr>
              <w:t>6</w:t>
            </w:r>
            <w:r w:rsidRPr="00CC4BD5">
              <w:fldChar w:fldCharType="end"/>
            </w:r>
            <w:bookmarkEnd w:id="166"/>
            <w:r w:rsidRPr="00CC4BD5">
              <w:rPr>
                <w:b/>
                <w:color w:val="auto"/>
              </w:rPr>
              <w:t xml:space="preserve">: Summary of estimated dietary exposures to </w:t>
            </w:r>
            <w:r w:rsidR="004C28B5">
              <w:rPr>
                <w:b/>
                <w:color w:val="auto"/>
              </w:rPr>
              <w:t>j</w:t>
            </w:r>
            <w:r w:rsidR="005F7B7D" w:rsidRPr="005F7B7D">
              <w:rPr>
                <w:b/>
                <w:color w:val="auto"/>
              </w:rPr>
              <w:t>elly mushroom glycolipids</w:t>
            </w:r>
            <w:r w:rsidRPr="00CC4BD5">
              <w:rPr>
                <w:b/>
                <w:color w:val="auto"/>
              </w:rPr>
              <w:t xml:space="preserve"> from all scenarios assessed for Australian and New Zealand consumers, expressed in mg/kg/day</w:t>
            </w:r>
            <w:bookmarkEnd w:id="167"/>
          </w:p>
        </w:tc>
      </w:tr>
      <w:tr w:rsidR="001C59CB" w:rsidRPr="00036CB8" w14:paraId="1DCB97DD" w14:textId="77777777" w:rsidTr="002746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pct"/>
            <w:gridSpan w:val="3"/>
            <w:tcBorders>
              <w:bottom w:val="single" w:sz="4" w:space="0" w:color="4BACC6" w:themeColor="accent5"/>
            </w:tcBorders>
            <w:vAlign w:val="center"/>
          </w:tcPr>
          <w:p w14:paraId="72DF8B3B" w14:textId="77777777" w:rsidR="001C59CB" w:rsidRPr="00036CB8" w:rsidRDefault="001C59CB" w:rsidP="002746B1">
            <w:pPr>
              <w:keepNext/>
              <w:keepLines/>
              <w:spacing w:before="120"/>
              <w:jc w:val="center"/>
              <w:rPr>
                <w:b w:val="0"/>
                <w:bCs w:val="0"/>
              </w:rPr>
            </w:pPr>
          </w:p>
        </w:tc>
        <w:tc>
          <w:tcPr>
            <w:tcW w:w="2732" w:type="pct"/>
            <w:gridSpan w:val="7"/>
            <w:tcBorders>
              <w:bottom w:val="single" w:sz="4" w:space="0" w:color="4BACC6" w:themeColor="accent5"/>
            </w:tcBorders>
            <w:vAlign w:val="center"/>
          </w:tcPr>
          <w:p w14:paraId="04ED470E" w14:textId="77777777" w:rsidR="001C59CB" w:rsidRPr="00036CB8" w:rsidRDefault="001C59CB" w:rsidP="002746B1">
            <w:pPr>
              <w:keepNext/>
              <w:keepLines/>
              <w:spacing w:before="120"/>
              <w:jc w:val="center"/>
              <w:cnfStyle w:val="100000000000" w:firstRow="1" w:lastRow="0" w:firstColumn="0" w:lastColumn="0" w:oddVBand="0" w:evenVBand="0" w:oddHBand="0" w:evenHBand="0" w:firstRowFirstColumn="0" w:firstRowLastColumn="0" w:lastRowFirstColumn="0" w:lastRowLastColumn="0"/>
            </w:pPr>
            <w:r>
              <w:t>Estimated consumer dietary exposure (mg/kg bw/day)</w:t>
            </w:r>
          </w:p>
        </w:tc>
      </w:tr>
      <w:tr w:rsidR="001C59CB" w:rsidRPr="00036CB8" w14:paraId="23A7BFEA" w14:textId="77777777" w:rsidTr="008C27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1" w:type="pct"/>
            <w:vMerge w:val="restart"/>
            <w:tcBorders>
              <w:top w:val="single" w:sz="4" w:space="0" w:color="4BACC6" w:themeColor="accent5"/>
              <w:left w:val="single" w:sz="4" w:space="0" w:color="B6DDE8" w:themeColor="accent5" w:themeTint="66"/>
              <w:right w:val="single" w:sz="4" w:space="0" w:color="4BACC6" w:themeColor="accent5"/>
            </w:tcBorders>
            <w:vAlign w:val="center"/>
          </w:tcPr>
          <w:p w14:paraId="268DC078" w14:textId="77777777" w:rsidR="001C59CB" w:rsidRPr="00036CB8" w:rsidRDefault="001C59CB" w:rsidP="002746B1">
            <w:pPr>
              <w:keepNext/>
              <w:keepLines/>
              <w:spacing w:before="80" w:after="80"/>
            </w:pPr>
            <w:r>
              <w:t>Country</w:t>
            </w:r>
          </w:p>
        </w:tc>
        <w:tc>
          <w:tcPr>
            <w:tcW w:w="818" w:type="pct"/>
            <w:vMerge w:val="restart"/>
            <w:tcBorders>
              <w:top w:val="single" w:sz="4" w:space="0" w:color="4BACC6" w:themeColor="accent5"/>
              <w:left w:val="single" w:sz="4" w:space="0" w:color="4BACC6" w:themeColor="accent5"/>
              <w:right w:val="single" w:sz="4" w:space="0" w:color="4BACC6" w:themeColor="accent5"/>
            </w:tcBorders>
            <w:vAlign w:val="center"/>
          </w:tcPr>
          <w:p w14:paraId="271D8480" w14:textId="77777777" w:rsidR="001C59CB" w:rsidRPr="00036CB8" w:rsidRDefault="001C59CB" w:rsidP="002746B1">
            <w:pPr>
              <w:keepNext/>
              <w:keepLines/>
              <w:spacing w:before="80" w:after="80"/>
              <w:cnfStyle w:val="100000000000" w:firstRow="1" w:lastRow="0" w:firstColumn="0" w:lastColumn="0" w:oddVBand="0" w:evenVBand="0" w:oddHBand="0" w:evenHBand="0" w:firstRowFirstColumn="0" w:firstRowLastColumn="0" w:lastRowFirstColumn="0" w:lastRowLastColumn="0"/>
            </w:pPr>
            <w:r>
              <w:t>A</w:t>
            </w:r>
            <w:r w:rsidRPr="00036CB8">
              <w:t>ge</w:t>
            </w:r>
            <w:r>
              <w:t xml:space="preserve"> group</w:t>
            </w:r>
          </w:p>
        </w:tc>
        <w:tc>
          <w:tcPr>
            <w:tcW w:w="764" w:type="pct"/>
            <w:gridSpan w:val="2"/>
            <w:vMerge w:val="restart"/>
            <w:tcBorders>
              <w:top w:val="single" w:sz="4" w:space="0" w:color="4BACC6" w:themeColor="accent5"/>
              <w:left w:val="single" w:sz="4" w:space="0" w:color="4BACC6" w:themeColor="accent5"/>
              <w:right w:val="single" w:sz="4" w:space="0" w:color="B6DDE8" w:themeColor="accent5" w:themeTint="66"/>
            </w:tcBorders>
            <w:vAlign w:val="center"/>
          </w:tcPr>
          <w:p w14:paraId="3270F23A" w14:textId="77777777" w:rsidR="001C59CB" w:rsidRPr="00036CB8" w:rsidRDefault="001C59CB" w:rsidP="002746B1">
            <w:pPr>
              <w:keepNext/>
              <w:keepLines/>
              <w:spacing w:before="80" w:after="80"/>
              <w:jc w:val="center"/>
              <w:cnfStyle w:val="100000000000" w:firstRow="1" w:lastRow="0" w:firstColumn="0" w:lastColumn="0" w:oddVBand="0" w:evenVBand="0" w:oddHBand="0" w:evenHBand="0" w:firstRowFirstColumn="0" w:firstRowLastColumn="0" w:lastRowFirstColumn="0" w:lastRowLastColumn="0"/>
            </w:pPr>
            <w:r>
              <w:t>Cons. to resp. ratio</w:t>
            </w:r>
          </w:p>
        </w:tc>
        <w:tc>
          <w:tcPr>
            <w:tcW w:w="903" w:type="pct"/>
            <w:gridSpan w:val="2"/>
            <w:tcBorders>
              <w:top w:val="single" w:sz="4" w:space="0" w:color="4BACC6" w:themeColor="accent5"/>
              <w:left w:val="single" w:sz="4" w:space="0" w:color="B6DDE8" w:themeColor="accent5" w:themeTint="66"/>
              <w:bottom w:val="single" w:sz="4" w:space="0" w:color="B6DDE8" w:themeColor="accent5" w:themeTint="66"/>
              <w:right w:val="single" w:sz="4" w:space="0" w:color="B6DDE8" w:themeColor="accent5" w:themeTint="66"/>
            </w:tcBorders>
            <w:vAlign w:val="center"/>
          </w:tcPr>
          <w:p w14:paraId="320958BD" w14:textId="77777777" w:rsidR="001C59CB" w:rsidRPr="00036CB8" w:rsidRDefault="001C59CB" w:rsidP="002746B1">
            <w:pPr>
              <w:keepNext/>
              <w:keepLines/>
              <w:spacing w:before="80" w:after="80"/>
              <w:jc w:val="center"/>
              <w:cnfStyle w:val="100000000000" w:firstRow="1" w:lastRow="0" w:firstColumn="0" w:lastColumn="0" w:oddVBand="0" w:evenVBand="0" w:oddHBand="0" w:evenHBand="0" w:firstRowFirstColumn="0" w:firstRowLastColumn="0" w:lastRowFirstColumn="0" w:lastRowLastColumn="0"/>
            </w:pPr>
            <w:r>
              <w:t>G</w:t>
            </w:r>
            <w:r w:rsidRPr="00036CB8">
              <w:t>eneral</w:t>
            </w:r>
            <w:r>
              <w:t xml:space="preserve"> MPL</w:t>
            </w:r>
          </w:p>
        </w:tc>
        <w:tc>
          <w:tcPr>
            <w:tcW w:w="903" w:type="pct"/>
            <w:gridSpan w:val="2"/>
            <w:tcBorders>
              <w:top w:val="single" w:sz="4" w:space="0" w:color="4BACC6" w:themeColor="accent5"/>
              <w:left w:val="single" w:sz="4" w:space="0" w:color="B6DDE8" w:themeColor="accent5" w:themeTint="66"/>
              <w:bottom w:val="single" w:sz="4" w:space="0" w:color="B6DDE8" w:themeColor="accent5" w:themeTint="66"/>
              <w:right w:val="single" w:sz="4" w:space="0" w:color="B6DDE8" w:themeColor="accent5" w:themeTint="66"/>
            </w:tcBorders>
            <w:vAlign w:val="center"/>
          </w:tcPr>
          <w:p w14:paraId="2B9E10F2" w14:textId="77777777" w:rsidR="001C59CB" w:rsidRPr="00036CB8" w:rsidRDefault="001C59CB" w:rsidP="002746B1">
            <w:pPr>
              <w:keepNext/>
              <w:keepLines/>
              <w:spacing w:before="80" w:after="80"/>
              <w:jc w:val="center"/>
              <w:cnfStyle w:val="100000000000" w:firstRow="1" w:lastRow="0" w:firstColumn="0" w:lastColumn="0" w:oddVBand="0" w:evenVBand="0" w:oddHBand="0" w:evenHBand="0" w:firstRowFirstColumn="0" w:firstRowLastColumn="0" w:lastRowFirstColumn="0" w:lastRowLastColumn="0"/>
            </w:pPr>
            <w:r>
              <w:t>S</w:t>
            </w:r>
            <w:r w:rsidRPr="00036CB8">
              <w:t>pecific</w:t>
            </w:r>
            <w:r>
              <w:t xml:space="preserve"> MPL</w:t>
            </w:r>
          </w:p>
        </w:tc>
        <w:tc>
          <w:tcPr>
            <w:tcW w:w="902" w:type="pct"/>
            <w:gridSpan w:val="2"/>
            <w:tcBorders>
              <w:top w:val="single" w:sz="4" w:space="0" w:color="4BACC6" w:themeColor="accent5"/>
              <w:left w:val="single" w:sz="4" w:space="0" w:color="B6DDE8" w:themeColor="accent5" w:themeTint="66"/>
              <w:bottom w:val="single" w:sz="4" w:space="0" w:color="B6DDE8" w:themeColor="accent5" w:themeTint="66"/>
              <w:right w:val="single" w:sz="4" w:space="0" w:color="B6DDE8" w:themeColor="accent5" w:themeTint="66"/>
            </w:tcBorders>
            <w:vAlign w:val="center"/>
          </w:tcPr>
          <w:p w14:paraId="69FCD5EC" w14:textId="77777777" w:rsidR="001C59CB" w:rsidRPr="00036CB8" w:rsidRDefault="001C59CB" w:rsidP="002746B1">
            <w:pPr>
              <w:keepNext/>
              <w:keepLines/>
              <w:spacing w:before="80" w:after="80"/>
              <w:jc w:val="center"/>
              <w:cnfStyle w:val="100000000000" w:firstRow="1" w:lastRow="0" w:firstColumn="0" w:lastColumn="0" w:oddVBand="0" w:evenVBand="0" w:oddHBand="0" w:evenHBand="0" w:firstRowFirstColumn="0" w:firstRowLastColumn="0" w:lastRowFirstColumn="0" w:lastRowLastColumn="0"/>
            </w:pPr>
            <w:r w:rsidRPr="00036CB8">
              <w:t xml:space="preserve">Usual </w:t>
            </w:r>
            <w:r>
              <w:t>U</w:t>
            </w:r>
            <w:r w:rsidRPr="00036CB8">
              <w:t>se</w:t>
            </w:r>
          </w:p>
        </w:tc>
      </w:tr>
      <w:tr w:rsidR="001C59CB" w:rsidRPr="00036CB8" w14:paraId="33FE0A5B" w14:textId="77777777" w:rsidTr="008C27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1" w:type="pct"/>
            <w:vMerge/>
            <w:tcBorders>
              <w:left w:val="single" w:sz="4" w:space="0" w:color="B6DDE8" w:themeColor="accent5" w:themeTint="66"/>
              <w:bottom w:val="single" w:sz="4" w:space="0" w:color="B6DDE8" w:themeColor="accent5" w:themeTint="66"/>
              <w:right w:val="single" w:sz="4" w:space="0" w:color="4BACC6" w:themeColor="accent5"/>
            </w:tcBorders>
            <w:vAlign w:val="center"/>
          </w:tcPr>
          <w:p w14:paraId="757A2D2D" w14:textId="77777777" w:rsidR="001C59CB" w:rsidRPr="00036CB8" w:rsidRDefault="001C59CB" w:rsidP="002746B1">
            <w:pPr>
              <w:keepNext/>
              <w:keepLines/>
              <w:spacing w:before="80" w:after="80"/>
            </w:pPr>
          </w:p>
        </w:tc>
        <w:tc>
          <w:tcPr>
            <w:tcW w:w="818" w:type="pct"/>
            <w:vMerge/>
            <w:tcBorders>
              <w:left w:val="single" w:sz="4" w:space="0" w:color="4BACC6" w:themeColor="accent5"/>
              <w:bottom w:val="single" w:sz="4" w:space="0" w:color="B6DDE8" w:themeColor="accent5" w:themeTint="66"/>
              <w:right w:val="single" w:sz="4" w:space="0" w:color="4BACC6" w:themeColor="accent5"/>
            </w:tcBorders>
            <w:vAlign w:val="center"/>
          </w:tcPr>
          <w:p w14:paraId="6B2407E3" w14:textId="77777777" w:rsidR="001C59CB" w:rsidRPr="00036CB8" w:rsidRDefault="001C59CB" w:rsidP="002746B1">
            <w:pPr>
              <w:keepNext/>
              <w:keepLines/>
              <w:spacing w:before="80" w:after="80"/>
              <w:cnfStyle w:val="100000000000" w:firstRow="1" w:lastRow="0" w:firstColumn="0" w:lastColumn="0" w:oddVBand="0" w:evenVBand="0" w:oddHBand="0" w:evenHBand="0" w:firstRowFirstColumn="0" w:firstRowLastColumn="0" w:lastRowFirstColumn="0" w:lastRowLastColumn="0"/>
            </w:pPr>
          </w:p>
        </w:tc>
        <w:tc>
          <w:tcPr>
            <w:tcW w:w="764" w:type="pct"/>
            <w:gridSpan w:val="2"/>
            <w:vMerge/>
            <w:tcBorders>
              <w:left w:val="single" w:sz="4" w:space="0" w:color="4BACC6" w:themeColor="accent5"/>
              <w:bottom w:val="single" w:sz="4" w:space="0" w:color="B6DDE8" w:themeColor="accent5" w:themeTint="66"/>
              <w:right w:val="single" w:sz="4" w:space="0" w:color="B6DDE8" w:themeColor="accent5" w:themeTint="66"/>
            </w:tcBorders>
            <w:vAlign w:val="center"/>
          </w:tcPr>
          <w:p w14:paraId="604F8912" w14:textId="77777777" w:rsidR="001C59CB" w:rsidRPr="00036CB8" w:rsidRDefault="001C59CB" w:rsidP="002746B1">
            <w:pPr>
              <w:keepNext/>
              <w:keepLines/>
              <w:spacing w:before="80" w:after="80"/>
              <w:jc w:val="center"/>
              <w:cnfStyle w:val="100000000000" w:firstRow="1" w:lastRow="0" w:firstColumn="0" w:lastColumn="0" w:oddVBand="0" w:evenVBand="0" w:oddHBand="0" w:evenHBand="0" w:firstRowFirstColumn="0" w:firstRowLastColumn="0" w:lastRowFirstColumn="0" w:lastRowLastColumn="0"/>
            </w:pPr>
          </w:p>
        </w:tc>
        <w:tc>
          <w:tcPr>
            <w:tcW w:w="451"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664A703F" w14:textId="77777777" w:rsidR="001C59CB" w:rsidRPr="00036CB8" w:rsidRDefault="001C59CB" w:rsidP="002746B1">
            <w:pPr>
              <w:keepNext/>
              <w:keepLines/>
              <w:spacing w:before="80" w:after="80"/>
              <w:jc w:val="center"/>
              <w:cnfStyle w:val="100000000000" w:firstRow="1" w:lastRow="0" w:firstColumn="0" w:lastColumn="0" w:oddVBand="0" w:evenVBand="0" w:oddHBand="0" w:evenHBand="0" w:firstRowFirstColumn="0" w:firstRowLastColumn="0" w:lastRowFirstColumn="0" w:lastRowLastColumn="0"/>
            </w:pPr>
            <w:r w:rsidRPr="00036CB8">
              <w:t>Mean</w:t>
            </w:r>
          </w:p>
        </w:tc>
        <w:tc>
          <w:tcPr>
            <w:tcW w:w="452"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50C112A1" w14:textId="77777777" w:rsidR="001C59CB" w:rsidRPr="00036CB8" w:rsidRDefault="001C59CB" w:rsidP="002746B1">
            <w:pPr>
              <w:keepNext/>
              <w:keepLines/>
              <w:spacing w:before="80" w:after="80"/>
              <w:jc w:val="center"/>
              <w:cnfStyle w:val="100000000000" w:firstRow="1" w:lastRow="0" w:firstColumn="0" w:lastColumn="0" w:oddVBand="0" w:evenVBand="0" w:oddHBand="0" w:evenHBand="0" w:firstRowFirstColumn="0" w:firstRowLastColumn="0" w:lastRowFirstColumn="0" w:lastRowLastColumn="0"/>
            </w:pPr>
            <w:r w:rsidRPr="00036CB8">
              <w:t>P90</w:t>
            </w:r>
          </w:p>
        </w:tc>
        <w:tc>
          <w:tcPr>
            <w:tcW w:w="451"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19F479FD" w14:textId="77777777" w:rsidR="001C59CB" w:rsidRPr="00036CB8" w:rsidRDefault="001C59CB" w:rsidP="002746B1">
            <w:pPr>
              <w:keepNext/>
              <w:keepLines/>
              <w:spacing w:before="80" w:after="80"/>
              <w:jc w:val="center"/>
              <w:cnfStyle w:val="100000000000" w:firstRow="1" w:lastRow="0" w:firstColumn="0" w:lastColumn="0" w:oddVBand="0" w:evenVBand="0" w:oddHBand="0" w:evenHBand="0" w:firstRowFirstColumn="0" w:firstRowLastColumn="0" w:lastRowFirstColumn="0" w:lastRowLastColumn="0"/>
            </w:pPr>
            <w:r w:rsidRPr="00036CB8">
              <w:t>Mean</w:t>
            </w:r>
          </w:p>
        </w:tc>
        <w:tc>
          <w:tcPr>
            <w:tcW w:w="452"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52F8AE09" w14:textId="77777777" w:rsidR="001C59CB" w:rsidRPr="00036CB8" w:rsidRDefault="001C59CB" w:rsidP="002746B1">
            <w:pPr>
              <w:keepNext/>
              <w:keepLines/>
              <w:spacing w:before="80" w:after="80"/>
              <w:jc w:val="center"/>
              <w:cnfStyle w:val="100000000000" w:firstRow="1" w:lastRow="0" w:firstColumn="0" w:lastColumn="0" w:oddVBand="0" w:evenVBand="0" w:oddHBand="0" w:evenHBand="0" w:firstRowFirstColumn="0" w:firstRowLastColumn="0" w:lastRowFirstColumn="0" w:lastRowLastColumn="0"/>
            </w:pPr>
            <w:r w:rsidRPr="00036CB8">
              <w:t>P90</w:t>
            </w:r>
          </w:p>
        </w:tc>
        <w:tc>
          <w:tcPr>
            <w:tcW w:w="451"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293961EB" w14:textId="77777777" w:rsidR="001C59CB" w:rsidRPr="00036CB8" w:rsidRDefault="001C59CB" w:rsidP="002746B1">
            <w:pPr>
              <w:keepNext/>
              <w:keepLines/>
              <w:spacing w:before="80" w:after="80"/>
              <w:jc w:val="center"/>
              <w:cnfStyle w:val="100000000000" w:firstRow="1" w:lastRow="0" w:firstColumn="0" w:lastColumn="0" w:oddVBand="0" w:evenVBand="0" w:oddHBand="0" w:evenHBand="0" w:firstRowFirstColumn="0" w:firstRowLastColumn="0" w:lastRowFirstColumn="0" w:lastRowLastColumn="0"/>
            </w:pPr>
            <w:r w:rsidRPr="00036CB8">
              <w:t>Mean</w:t>
            </w:r>
          </w:p>
        </w:tc>
        <w:tc>
          <w:tcPr>
            <w:tcW w:w="451"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196E3543" w14:textId="77777777" w:rsidR="001C59CB" w:rsidRPr="00036CB8" w:rsidRDefault="001C59CB" w:rsidP="002746B1">
            <w:pPr>
              <w:keepNext/>
              <w:keepLines/>
              <w:spacing w:before="80" w:after="80"/>
              <w:jc w:val="center"/>
              <w:cnfStyle w:val="100000000000" w:firstRow="1" w:lastRow="0" w:firstColumn="0" w:lastColumn="0" w:oddVBand="0" w:evenVBand="0" w:oddHBand="0" w:evenHBand="0" w:firstRowFirstColumn="0" w:firstRowLastColumn="0" w:lastRowFirstColumn="0" w:lastRowLastColumn="0"/>
            </w:pPr>
            <w:r w:rsidRPr="00036CB8">
              <w:t>P90</w:t>
            </w:r>
          </w:p>
        </w:tc>
      </w:tr>
      <w:tr w:rsidR="001C59CB" w:rsidRPr="00036CB8" w14:paraId="10ACBC82" w14:textId="77777777" w:rsidTr="008C2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Borders>
              <w:top w:val="single" w:sz="4" w:space="0" w:color="4BACC6" w:themeColor="accent5"/>
              <w:left w:val="single" w:sz="4" w:space="0" w:color="B6DDE8" w:themeColor="accent5" w:themeTint="66"/>
              <w:bottom w:val="single" w:sz="4" w:space="0" w:color="B6DDE8" w:themeColor="accent5" w:themeTint="66"/>
              <w:right w:val="single" w:sz="4" w:space="0" w:color="B6DDE8" w:themeColor="accent5" w:themeTint="66"/>
            </w:tcBorders>
            <w:vAlign w:val="center"/>
          </w:tcPr>
          <w:p w14:paraId="33E015AF" w14:textId="77777777" w:rsidR="001C59CB" w:rsidRPr="00036CB8" w:rsidRDefault="001C59CB" w:rsidP="002746B1">
            <w:pPr>
              <w:keepNext/>
              <w:keepLines/>
              <w:spacing w:before="80" w:after="80"/>
            </w:pPr>
            <w:r>
              <w:t>New Zealand</w:t>
            </w:r>
          </w:p>
        </w:tc>
        <w:tc>
          <w:tcPr>
            <w:tcW w:w="818" w:type="pct"/>
            <w:tcBorders>
              <w:top w:val="single" w:sz="4" w:space="0" w:color="4BACC6" w:themeColor="accent5"/>
              <w:left w:val="single" w:sz="4" w:space="0" w:color="B6DDE8" w:themeColor="accent5" w:themeTint="66"/>
              <w:bottom w:val="single" w:sz="4" w:space="0" w:color="B6DDE8" w:themeColor="accent5" w:themeTint="66"/>
              <w:right w:val="single" w:sz="4" w:space="0" w:color="B6DDE8" w:themeColor="accent5" w:themeTint="66"/>
            </w:tcBorders>
            <w:vAlign w:val="center"/>
          </w:tcPr>
          <w:p w14:paraId="36AC9F22" w14:textId="77777777" w:rsidR="001C59CB" w:rsidRPr="00036CB8" w:rsidRDefault="001C59CB" w:rsidP="002746B1">
            <w:pPr>
              <w:keepNext/>
              <w:keepLines/>
              <w:spacing w:before="80" w:after="80"/>
              <w:cnfStyle w:val="000000100000" w:firstRow="0" w:lastRow="0" w:firstColumn="0" w:lastColumn="0" w:oddVBand="0" w:evenVBand="0" w:oddHBand="1" w:evenHBand="0" w:firstRowFirstColumn="0" w:firstRowLastColumn="0" w:lastRowFirstColumn="0" w:lastRowLastColumn="0"/>
            </w:pPr>
            <w:r w:rsidRPr="00036CB8">
              <w:t>5-14 years</w:t>
            </w:r>
          </w:p>
        </w:tc>
        <w:tc>
          <w:tcPr>
            <w:tcW w:w="764" w:type="pct"/>
            <w:gridSpan w:val="2"/>
            <w:tcBorders>
              <w:top w:val="single" w:sz="4" w:space="0" w:color="4BACC6" w:themeColor="accent5"/>
              <w:left w:val="single" w:sz="4" w:space="0" w:color="B6DDE8" w:themeColor="accent5" w:themeTint="66"/>
              <w:bottom w:val="single" w:sz="4" w:space="0" w:color="B6DDE8" w:themeColor="accent5" w:themeTint="66"/>
              <w:right w:val="single" w:sz="4" w:space="0" w:color="B6DDE8" w:themeColor="accent5" w:themeTint="66"/>
            </w:tcBorders>
            <w:vAlign w:val="center"/>
          </w:tcPr>
          <w:p w14:paraId="1761BCE9" w14:textId="77777777" w:rsidR="001C59CB" w:rsidRPr="00036CB8" w:rsidRDefault="001C59CB" w:rsidP="002746B1">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t>72.8</w:t>
            </w:r>
          </w:p>
        </w:tc>
        <w:tc>
          <w:tcPr>
            <w:tcW w:w="451" w:type="pct"/>
            <w:tcBorders>
              <w:top w:val="single" w:sz="4" w:space="0" w:color="4BACC6" w:themeColor="accent5"/>
              <w:left w:val="single" w:sz="4" w:space="0" w:color="B6DDE8" w:themeColor="accent5" w:themeTint="66"/>
              <w:bottom w:val="single" w:sz="4" w:space="0" w:color="B6DDE8" w:themeColor="accent5" w:themeTint="66"/>
              <w:right w:val="single" w:sz="4" w:space="0" w:color="B6DDE8" w:themeColor="accent5" w:themeTint="66"/>
            </w:tcBorders>
            <w:vAlign w:val="center"/>
          </w:tcPr>
          <w:p w14:paraId="1B98FD28" w14:textId="77777777" w:rsidR="001C59CB" w:rsidRPr="00036CB8" w:rsidRDefault="001C59CB" w:rsidP="002746B1">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rsidRPr="00036CB8">
              <w:t>0.</w:t>
            </w:r>
            <w:r>
              <w:t>67</w:t>
            </w:r>
          </w:p>
        </w:tc>
        <w:tc>
          <w:tcPr>
            <w:tcW w:w="452" w:type="pct"/>
            <w:tcBorders>
              <w:top w:val="single" w:sz="4" w:space="0" w:color="4BACC6" w:themeColor="accent5"/>
              <w:left w:val="single" w:sz="4" w:space="0" w:color="B6DDE8" w:themeColor="accent5" w:themeTint="66"/>
              <w:bottom w:val="single" w:sz="4" w:space="0" w:color="B6DDE8" w:themeColor="accent5" w:themeTint="66"/>
              <w:right w:val="single" w:sz="4" w:space="0" w:color="B6DDE8" w:themeColor="accent5" w:themeTint="66"/>
            </w:tcBorders>
            <w:vAlign w:val="center"/>
          </w:tcPr>
          <w:p w14:paraId="57349815" w14:textId="77777777" w:rsidR="001C59CB" w:rsidRPr="00036CB8" w:rsidRDefault="001C59CB" w:rsidP="002746B1">
            <w:pPr>
              <w:keepNext/>
              <w:keepLines/>
              <w:tabs>
                <w:tab w:val="decimal" w:pos="227"/>
              </w:tabs>
              <w:spacing w:before="80" w:after="80"/>
              <w:cnfStyle w:val="000000100000" w:firstRow="0" w:lastRow="0" w:firstColumn="0" w:lastColumn="0" w:oddVBand="0" w:evenVBand="0" w:oddHBand="1" w:evenHBand="0" w:firstRowFirstColumn="0" w:firstRowLastColumn="0" w:lastRowFirstColumn="0" w:lastRowLastColumn="0"/>
            </w:pPr>
            <w:r w:rsidRPr="00036CB8">
              <w:t>1.</w:t>
            </w:r>
            <w:r>
              <w:t>5</w:t>
            </w:r>
          </w:p>
        </w:tc>
        <w:tc>
          <w:tcPr>
            <w:tcW w:w="451" w:type="pct"/>
            <w:tcBorders>
              <w:top w:val="single" w:sz="4" w:space="0" w:color="4BACC6" w:themeColor="accent5"/>
              <w:left w:val="single" w:sz="4" w:space="0" w:color="B6DDE8" w:themeColor="accent5" w:themeTint="66"/>
              <w:bottom w:val="single" w:sz="4" w:space="0" w:color="B6DDE8" w:themeColor="accent5" w:themeTint="66"/>
              <w:right w:val="single" w:sz="4" w:space="0" w:color="B6DDE8" w:themeColor="accent5" w:themeTint="66"/>
            </w:tcBorders>
            <w:vAlign w:val="center"/>
          </w:tcPr>
          <w:p w14:paraId="17BB5272" w14:textId="77777777" w:rsidR="001C59CB" w:rsidRPr="00036CB8" w:rsidRDefault="001C59CB" w:rsidP="002746B1">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rsidRPr="00036CB8">
              <w:t>0.</w:t>
            </w:r>
            <w:r>
              <w:t>49</w:t>
            </w:r>
          </w:p>
        </w:tc>
        <w:tc>
          <w:tcPr>
            <w:tcW w:w="452" w:type="pct"/>
            <w:tcBorders>
              <w:top w:val="single" w:sz="4" w:space="0" w:color="4BACC6" w:themeColor="accent5"/>
              <w:left w:val="single" w:sz="4" w:space="0" w:color="B6DDE8" w:themeColor="accent5" w:themeTint="66"/>
              <w:bottom w:val="single" w:sz="4" w:space="0" w:color="B6DDE8" w:themeColor="accent5" w:themeTint="66"/>
              <w:right w:val="single" w:sz="4" w:space="0" w:color="B6DDE8" w:themeColor="accent5" w:themeTint="66"/>
            </w:tcBorders>
            <w:vAlign w:val="center"/>
          </w:tcPr>
          <w:p w14:paraId="085699B6" w14:textId="77777777" w:rsidR="001C59CB" w:rsidRPr="00036CB8" w:rsidRDefault="001C59CB" w:rsidP="002746B1">
            <w:pPr>
              <w:keepNext/>
              <w:keepLines/>
              <w:tabs>
                <w:tab w:val="decimal" w:pos="227"/>
              </w:tabs>
              <w:spacing w:before="80" w:after="80"/>
              <w:cnfStyle w:val="000000100000" w:firstRow="0" w:lastRow="0" w:firstColumn="0" w:lastColumn="0" w:oddVBand="0" w:evenVBand="0" w:oddHBand="1" w:evenHBand="0" w:firstRowFirstColumn="0" w:firstRowLastColumn="0" w:lastRowFirstColumn="0" w:lastRowLastColumn="0"/>
            </w:pPr>
            <w:r>
              <w:t>1.2</w:t>
            </w:r>
          </w:p>
        </w:tc>
        <w:tc>
          <w:tcPr>
            <w:tcW w:w="451" w:type="pct"/>
            <w:tcBorders>
              <w:top w:val="single" w:sz="4" w:space="0" w:color="4BACC6" w:themeColor="accent5"/>
              <w:left w:val="single" w:sz="4" w:space="0" w:color="B6DDE8" w:themeColor="accent5" w:themeTint="66"/>
              <w:bottom w:val="single" w:sz="4" w:space="0" w:color="B6DDE8" w:themeColor="accent5" w:themeTint="66"/>
              <w:right w:val="single" w:sz="4" w:space="0" w:color="B6DDE8" w:themeColor="accent5" w:themeTint="66"/>
            </w:tcBorders>
            <w:vAlign w:val="center"/>
          </w:tcPr>
          <w:p w14:paraId="7D539ABA" w14:textId="77777777" w:rsidR="001C59CB" w:rsidRPr="00036CB8" w:rsidRDefault="001C59CB" w:rsidP="002746B1">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rsidRPr="00036CB8">
              <w:t>0.</w:t>
            </w:r>
            <w:r>
              <w:t>34</w:t>
            </w:r>
          </w:p>
        </w:tc>
        <w:tc>
          <w:tcPr>
            <w:tcW w:w="451" w:type="pct"/>
            <w:tcBorders>
              <w:top w:val="single" w:sz="4" w:space="0" w:color="4BACC6" w:themeColor="accent5"/>
              <w:left w:val="single" w:sz="4" w:space="0" w:color="B6DDE8" w:themeColor="accent5" w:themeTint="66"/>
              <w:bottom w:val="single" w:sz="4" w:space="0" w:color="B6DDE8" w:themeColor="accent5" w:themeTint="66"/>
              <w:right w:val="single" w:sz="4" w:space="0" w:color="B6DDE8" w:themeColor="accent5" w:themeTint="66"/>
            </w:tcBorders>
            <w:vAlign w:val="center"/>
          </w:tcPr>
          <w:p w14:paraId="0B63D9F1" w14:textId="77777777" w:rsidR="001C59CB" w:rsidRPr="00036CB8" w:rsidRDefault="001C59CB" w:rsidP="002746B1">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rsidRPr="00036CB8">
              <w:t>0.8</w:t>
            </w:r>
            <w:r>
              <w:t>6</w:t>
            </w:r>
          </w:p>
        </w:tc>
      </w:tr>
      <w:tr w:rsidR="001C59CB" w:rsidRPr="00036CB8" w14:paraId="1A60568E" w14:textId="77777777" w:rsidTr="008C279D">
        <w:tc>
          <w:tcPr>
            <w:cnfStyle w:val="001000000000" w:firstRow="0" w:lastRow="0" w:firstColumn="1" w:lastColumn="0" w:oddVBand="0" w:evenVBand="0" w:oddHBand="0" w:evenHBand="0" w:firstRowFirstColumn="0" w:firstRowLastColumn="0" w:lastRowFirstColumn="0" w:lastRowLastColumn="0"/>
            <w:tcW w:w="711"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4DC8856B" w14:textId="77777777" w:rsidR="001C59CB" w:rsidRPr="00036CB8" w:rsidRDefault="001C59CB" w:rsidP="002746B1">
            <w:pPr>
              <w:keepNext/>
              <w:keepLines/>
              <w:spacing w:before="80" w:after="80"/>
            </w:pPr>
          </w:p>
        </w:tc>
        <w:tc>
          <w:tcPr>
            <w:tcW w:w="818"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20B32A92" w14:textId="77777777" w:rsidR="001C59CB" w:rsidRPr="00036CB8" w:rsidRDefault="001C59CB" w:rsidP="002746B1">
            <w:pPr>
              <w:keepNext/>
              <w:keepLines/>
              <w:spacing w:before="80" w:after="80"/>
              <w:cnfStyle w:val="000000000000" w:firstRow="0" w:lastRow="0" w:firstColumn="0" w:lastColumn="0" w:oddVBand="0" w:evenVBand="0" w:oddHBand="0" w:evenHBand="0" w:firstRowFirstColumn="0" w:firstRowLastColumn="0" w:lastRowFirstColumn="0" w:lastRowLastColumn="0"/>
            </w:pPr>
            <w:r w:rsidRPr="00036CB8">
              <w:t>15 years and above</w:t>
            </w:r>
          </w:p>
        </w:tc>
        <w:tc>
          <w:tcPr>
            <w:tcW w:w="764" w:type="pct"/>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1474EE92" w14:textId="77777777" w:rsidR="001C59CB" w:rsidRPr="00036CB8" w:rsidRDefault="001C59CB" w:rsidP="002746B1">
            <w:pPr>
              <w:keepNext/>
              <w:keepLines/>
              <w:spacing w:before="80" w:after="80"/>
              <w:jc w:val="center"/>
              <w:cnfStyle w:val="000000000000" w:firstRow="0" w:lastRow="0" w:firstColumn="0" w:lastColumn="0" w:oddVBand="0" w:evenVBand="0" w:oddHBand="0" w:evenHBand="0" w:firstRowFirstColumn="0" w:firstRowLastColumn="0" w:lastRowFirstColumn="0" w:lastRowLastColumn="0"/>
            </w:pPr>
            <w:r>
              <w:t>65.5</w:t>
            </w:r>
          </w:p>
        </w:tc>
        <w:tc>
          <w:tcPr>
            <w:tcW w:w="451"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64F10E1C" w14:textId="77777777" w:rsidR="001C59CB" w:rsidRPr="00036CB8" w:rsidRDefault="001C59CB" w:rsidP="002746B1">
            <w:pPr>
              <w:keepNext/>
              <w:keepLines/>
              <w:spacing w:before="80" w:after="80"/>
              <w:jc w:val="center"/>
              <w:cnfStyle w:val="000000000000" w:firstRow="0" w:lastRow="0" w:firstColumn="0" w:lastColumn="0" w:oddVBand="0" w:evenVBand="0" w:oddHBand="0" w:evenHBand="0" w:firstRowFirstColumn="0" w:firstRowLastColumn="0" w:lastRowFirstColumn="0" w:lastRowLastColumn="0"/>
            </w:pPr>
            <w:r w:rsidRPr="00036CB8">
              <w:t>0.38</w:t>
            </w:r>
          </w:p>
        </w:tc>
        <w:tc>
          <w:tcPr>
            <w:tcW w:w="452"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0EB7356C" w14:textId="77777777" w:rsidR="001C59CB" w:rsidRPr="00036CB8" w:rsidRDefault="001C59CB" w:rsidP="002746B1">
            <w:pPr>
              <w:keepNext/>
              <w:keepLines/>
              <w:tabs>
                <w:tab w:val="decimal" w:pos="227"/>
              </w:tabs>
              <w:spacing w:before="80" w:after="80"/>
              <w:cnfStyle w:val="000000000000" w:firstRow="0" w:lastRow="0" w:firstColumn="0" w:lastColumn="0" w:oddVBand="0" w:evenVBand="0" w:oddHBand="0" w:evenHBand="0" w:firstRowFirstColumn="0" w:firstRowLastColumn="0" w:lastRowFirstColumn="0" w:lastRowLastColumn="0"/>
            </w:pPr>
            <w:r w:rsidRPr="00036CB8">
              <w:t>0.87</w:t>
            </w:r>
          </w:p>
        </w:tc>
        <w:tc>
          <w:tcPr>
            <w:tcW w:w="451"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25891D45" w14:textId="77777777" w:rsidR="001C59CB" w:rsidRPr="00036CB8" w:rsidRDefault="001C59CB" w:rsidP="002746B1">
            <w:pPr>
              <w:keepNext/>
              <w:keepLines/>
              <w:spacing w:before="80" w:after="80"/>
              <w:jc w:val="center"/>
              <w:cnfStyle w:val="000000000000" w:firstRow="0" w:lastRow="0" w:firstColumn="0" w:lastColumn="0" w:oddVBand="0" w:evenVBand="0" w:oddHBand="0" w:evenHBand="0" w:firstRowFirstColumn="0" w:firstRowLastColumn="0" w:lastRowFirstColumn="0" w:lastRowLastColumn="0"/>
            </w:pPr>
            <w:r w:rsidRPr="00036CB8">
              <w:t>0.26</w:t>
            </w:r>
          </w:p>
        </w:tc>
        <w:tc>
          <w:tcPr>
            <w:tcW w:w="452"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183499EA" w14:textId="77777777" w:rsidR="001C59CB" w:rsidRPr="00036CB8" w:rsidRDefault="001C59CB" w:rsidP="002746B1">
            <w:pPr>
              <w:keepNext/>
              <w:keepLines/>
              <w:tabs>
                <w:tab w:val="decimal" w:pos="227"/>
              </w:tabs>
              <w:spacing w:before="80" w:after="80"/>
              <w:cnfStyle w:val="000000000000" w:firstRow="0" w:lastRow="0" w:firstColumn="0" w:lastColumn="0" w:oddVBand="0" w:evenVBand="0" w:oddHBand="0" w:evenHBand="0" w:firstRowFirstColumn="0" w:firstRowLastColumn="0" w:lastRowFirstColumn="0" w:lastRowLastColumn="0"/>
            </w:pPr>
            <w:r w:rsidRPr="00036CB8">
              <w:t>0.64</w:t>
            </w:r>
          </w:p>
        </w:tc>
        <w:tc>
          <w:tcPr>
            <w:tcW w:w="451"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3501622D" w14:textId="77777777" w:rsidR="001C59CB" w:rsidRPr="00036CB8" w:rsidRDefault="001C59CB" w:rsidP="002746B1">
            <w:pPr>
              <w:keepNext/>
              <w:keepLines/>
              <w:spacing w:before="80" w:after="80"/>
              <w:jc w:val="center"/>
              <w:cnfStyle w:val="000000000000" w:firstRow="0" w:lastRow="0" w:firstColumn="0" w:lastColumn="0" w:oddVBand="0" w:evenVBand="0" w:oddHBand="0" w:evenHBand="0" w:firstRowFirstColumn="0" w:firstRowLastColumn="0" w:lastRowFirstColumn="0" w:lastRowLastColumn="0"/>
            </w:pPr>
            <w:r w:rsidRPr="00036CB8">
              <w:t>0.19</w:t>
            </w:r>
          </w:p>
        </w:tc>
        <w:tc>
          <w:tcPr>
            <w:tcW w:w="451"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11202CB8" w14:textId="77777777" w:rsidR="001C59CB" w:rsidRPr="00036CB8" w:rsidRDefault="001C59CB" w:rsidP="002746B1">
            <w:pPr>
              <w:keepNext/>
              <w:keepLines/>
              <w:spacing w:before="80" w:after="80"/>
              <w:jc w:val="center"/>
              <w:cnfStyle w:val="000000000000" w:firstRow="0" w:lastRow="0" w:firstColumn="0" w:lastColumn="0" w:oddVBand="0" w:evenVBand="0" w:oddHBand="0" w:evenHBand="0" w:firstRowFirstColumn="0" w:firstRowLastColumn="0" w:lastRowFirstColumn="0" w:lastRowLastColumn="0"/>
            </w:pPr>
            <w:r w:rsidRPr="00036CB8">
              <w:t>0.44</w:t>
            </w:r>
          </w:p>
        </w:tc>
      </w:tr>
      <w:tr w:rsidR="001C59CB" w:rsidRPr="00036CB8" w14:paraId="2D811981" w14:textId="77777777" w:rsidTr="008C2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7CE5328A" w14:textId="77777777" w:rsidR="001C59CB" w:rsidRPr="00036CB8" w:rsidRDefault="001C59CB" w:rsidP="002746B1">
            <w:pPr>
              <w:keepNext/>
              <w:keepLines/>
              <w:spacing w:before="80" w:after="80"/>
            </w:pPr>
            <w:r>
              <w:t>Australia</w:t>
            </w:r>
          </w:p>
        </w:tc>
        <w:tc>
          <w:tcPr>
            <w:tcW w:w="818"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7FD0D7BB" w14:textId="77777777" w:rsidR="001C59CB" w:rsidRPr="00036CB8" w:rsidRDefault="001C59CB" w:rsidP="002746B1">
            <w:pPr>
              <w:keepNext/>
              <w:keepLines/>
              <w:spacing w:before="80" w:after="80"/>
              <w:cnfStyle w:val="000000100000" w:firstRow="0" w:lastRow="0" w:firstColumn="0" w:lastColumn="0" w:oddVBand="0" w:evenVBand="0" w:oddHBand="1" w:evenHBand="0" w:firstRowFirstColumn="0" w:firstRowLastColumn="0" w:lastRowFirstColumn="0" w:lastRowLastColumn="0"/>
            </w:pPr>
            <w:r w:rsidRPr="00036CB8">
              <w:t>2 years and above</w:t>
            </w:r>
          </w:p>
        </w:tc>
        <w:tc>
          <w:tcPr>
            <w:tcW w:w="764" w:type="pct"/>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09F12E07" w14:textId="77777777" w:rsidR="001C59CB" w:rsidRPr="00036CB8" w:rsidRDefault="001C59CB" w:rsidP="002746B1">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t>74.4</w:t>
            </w:r>
          </w:p>
        </w:tc>
        <w:tc>
          <w:tcPr>
            <w:tcW w:w="451"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047F7739" w14:textId="77777777" w:rsidR="001C59CB" w:rsidRPr="00036CB8" w:rsidRDefault="001C59CB" w:rsidP="002746B1">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rsidRPr="00036CB8">
              <w:t>0.46</w:t>
            </w:r>
          </w:p>
        </w:tc>
        <w:tc>
          <w:tcPr>
            <w:tcW w:w="452"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290D6D6C" w14:textId="77777777" w:rsidR="001C59CB" w:rsidRPr="00036CB8" w:rsidRDefault="001C59CB" w:rsidP="002746B1">
            <w:pPr>
              <w:keepNext/>
              <w:keepLines/>
              <w:tabs>
                <w:tab w:val="decimal" w:pos="227"/>
              </w:tabs>
              <w:spacing w:before="80" w:after="80"/>
              <w:cnfStyle w:val="000000100000" w:firstRow="0" w:lastRow="0" w:firstColumn="0" w:lastColumn="0" w:oddVBand="0" w:evenVBand="0" w:oddHBand="1" w:evenHBand="0" w:firstRowFirstColumn="0" w:firstRowLastColumn="0" w:lastRowFirstColumn="0" w:lastRowLastColumn="0"/>
            </w:pPr>
            <w:r w:rsidRPr="00036CB8">
              <w:t>1</w:t>
            </w:r>
            <w:r>
              <w:t>.0</w:t>
            </w:r>
          </w:p>
        </w:tc>
        <w:tc>
          <w:tcPr>
            <w:tcW w:w="451"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032B860E" w14:textId="77777777" w:rsidR="001C59CB" w:rsidRPr="00036CB8" w:rsidRDefault="001C59CB" w:rsidP="002746B1">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rsidRPr="00036CB8">
              <w:t>0.3</w:t>
            </w:r>
            <w:r>
              <w:t>0</w:t>
            </w:r>
          </w:p>
        </w:tc>
        <w:tc>
          <w:tcPr>
            <w:tcW w:w="452"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37C274F1" w14:textId="77777777" w:rsidR="001C59CB" w:rsidRPr="00036CB8" w:rsidRDefault="001C59CB" w:rsidP="002746B1">
            <w:pPr>
              <w:keepNext/>
              <w:keepLines/>
              <w:tabs>
                <w:tab w:val="decimal" w:pos="227"/>
              </w:tabs>
              <w:spacing w:before="80" w:after="80"/>
              <w:cnfStyle w:val="000000100000" w:firstRow="0" w:lastRow="0" w:firstColumn="0" w:lastColumn="0" w:oddVBand="0" w:evenVBand="0" w:oddHBand="1" w:evenHBand="0" w:firstRowFirstColumn="0" w:firstRowLastColumn="0" w:lastRowFirstColumn="0" w:lastRowLastColumn="0"/>
            </w:pPr>
            <w:r w:rsidRPr="00036CB8">
              <w:t>0.67</w:t>
            </w:r>
          </w:p>
        </w:tc>
        <w:tc>
          <w:tcPr>
            <w:tcW w:w="451"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3A0D21B0" w14:textId="77777777" w:rsidR="001C59CB" w:rsidRPr="00036CB8" w:rsidRDefault="001C59CB" w:rsidP="002746B1">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rsidRPr="00036CB8">
              <w:t>0.2</w:t>
            </w:r>
            <w:r>
              <w:t>0</w:t>
            </w:r>
          </w:p>
        </w:tc>
        <w:tc>
          <w:tcPr>
            <w:tcW w:w="451"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14:paraId="24D22924" w14:textId="77777777" w:rsidR="001C59CB" w:rsidRPr="00036CB8" w:rsidRDefault="001C59CB" w:rsidP="002746B1">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rsidRPr="00036CB8">
              <w:t>0.45</w:t>
            </w:r>
          </w:p>
        </w:tc>
      </w:tr>
    </w:tbl>
    <w:p w14:paraId="4CBC3205" w14:textId="77777777" w:rsidR="001C59CB" w:rsidRDefault="001C59CB" w:rsidP="001C59CB">
      <w:pPr>
        <w:rPr>
          <w:lang w:eastAsia="en-AU"/>
        </w:rPr>
      </w:pPr>
    </w:p>
    <w:p w14:paraId="6AD7C095" w14:textId="4F39204E" w:rsidR="001C59CB" w:rsidRDefault="001C59CB" w:rsidP="001C59CB">
      <w:pPr>
        <w:pStyle w:val="FSFigureTitle"/>
      </w:pPr>
    </w:p>
    <w:p w14:paraId="52680BCC" w14:textId="524998DD" w:rsidR="00B1716D" w:rsidRDefault="00B1716D" w:rsidP="001C59CB">
      <w:pPr>
        <w:pStyle w:val="FSFigureTitle"/>
      </w:pPr>
      <w:r>
        <w:rPr>
          <w:noProof/>
          <w:lang w:eastAsia="en-GB" w:bidi="ar-SA"/>
        </w:rPr>
        <w:drawing>
          <wp:inline distT="0" distB="0" distL="0" distR="0" wp14:anchorId="11D6D4C8" wp14:editId="556C959F">
            <wp:extent cx="5760000" cy="4788000"/>
            <wp:effectExtent l="0" t="0" r="0" b="0"/>
            <wp:docPr id="8" name="Picture 8" descr="Estimated consumer dietary exposures for Australian and New Zealand population groups, expressed as mg/kg bw/da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000" cy="4788000"/>
                    </a:xfrm>
                    <a:prstGeom prst="rect">
                      <a:avLst/>
                    </a:prstGeom>
                    <a:noFill/>
                  </pic:spPr>
                </pic:pic>
              </a:graphicData>
            </a:graphic>
          </wp:inline>
        </w:drawing>
      </w:r>
    </w:p>
    <w:p w14:paraId="4DFF127C" w14:textId="1A264D8D" w:rsidR="00003C15" w:rsidRDefault="00406EB2" w:rsidP="00003C15">
      <w:pPr>
        <w:pStyle w:val="FSFigureTitle"/>
        <w:rPr>
          <w:lang w:eastAsia="en-AU"/>
        </w:rPr>
      </w:pPr>
      <w:r w:rsidRPr="00406EB2">
        <w:rPr>
          <w:b/>
        </w:rPr>
        <w:t xml:space="preserve">Figure </w:t>
      </w:r>
      <w:r w:rsidRPr="00406EB2">
        <w:rPr>
          <w:b/>
        </w:rPr>
        <w:fldChar w:fldCharType="begin"/>
      </w:r>
      <w:r w:rsidRPr="00406EB2">
        <w:rPr>
          <w:b/>
        </w:rPr>
        <w:instrText xml:space="preserve"> SEQ Figure \* ARABIC </w:instrText>
      </w:r>
      <w:r w:rsidRPr="00406EB2">
        <w:rPr>
          <w:b/>
        </w:rPr>
        <w:fldChar w:fldCharType="separate"/>
      </w:r>
      <w:r w:rsidR="00E202C8">
        <w:rPr>
          <w:b/>
          <w:noProof/>
        </w:rPr>
        <w:t>7</w:t>
      </w:r>
      <w:r w:rsidRPr="00406EB2">
        <w:rPr>
          <w:b/>
        </w:rPr>
        <w:fldChar w:fldCharType="end"/>
      </w:r>
      <w:r w:rsidRPr="00837AED">
        <w:rPr>
          <w:i w:val="0"/>
        </w:rPr>
        <w:tab/>
      </w:r>
      <w:r w:rsidR="001C59CB">
        <w:rPr>
          <w:lang w:eastAsia="en-AU"/>
        </w:rPr>
        <w:t xml:space="preserve">Estimated consumer dietary exposure to </w:t>
      </w:r>
      <w:r w:rsidR="004C28B5">
        <w:t>j</w:t>
      </w:r>
      <w:r w:rsidR="005F7B7D">
        <w:t>elly mushroom glycolipids</w:t>
      </w:r>
      <w:r w:rsidR="001C59CB">
        <w:rPr>
          <w:lang w:eastAsia="en-AU"/>
        </w:rPr>
        <w:t xml:space="preserve"> for Australian and New Zealand population groups, in mg/kg bw/day</w:t>
      </w:r>
    </w:p>
    <w:p w14:paraId="34357FB5" w14:textId="77777777" w:rsidR="00003C15" w:rsidRPr="00003C15" w:rsidRDefault="00003C15" w:rsidP="00003C15">
      <w:pPr>
        <w:rPr>
          <w:lang w:eastAsia="en-AU"/>
        </w:rPr>
        <w:sectPr w:rsidR="00003C15" w:rsidRPr="00003C15" w:rsidSect="00E61AB6">
          <w:headerReference w:type="even" r:id="rId32"/>
          <w:headerReference w:type="default" r:id="rId33"/>
          <w:footerReference w:type="even" r:id="rId34"/>
          <w:headerReference w:type="first" r:id="rId35"/>
          <w:footerReference w:type="first" r:id="rId36"/>
          <w:pgSz w:w="11906" w:h="16838" w:code="9"/>
          <w:pgMar w:top="1418" w:right="1418" w:bottom="1418" w:left="1418" w:header="510" w:footer="346" w:gutter="0"/>
          <w:cols w:space="708"/>
          <w:docGrid w:linePitch="360"/>
        </w:sectPr>
      </w:pPr>
    </w:p>
    <w:tbl>
      <w:tblPr>
        <w:tblStyle w:val="GridTable4-Accent5"/>
        <w:tblW w:w="13995" w:type="dxa"/>
        <w:tblLayout w:type="fixed"/>
        <w:tblLook w:val="04A0" w:firstRow="1" w:lastRow="0" w:firstColumn="1" w:lastColumn="0" w:noHBand="0" w:noVBand="1"/>
        <w:tblDescription w:val="Contributing food categories to Natural Glycolipids (AM-1) dietary exposures for all Australian and New Zealand population groups for all scenarios. The major contributing food group for all population groups is Water based flavoured drinks, excluding powders, ice teas and brewed soft drinks."/>
      </w:tblPr>
      <w:tblGrid>
        <w:gridCol w:w="846"/>
        <w:gridCol w:w="4252"/>
        <w:gridCol w:w="988"/>
        <w:gridCol w:w="989"/>
        <w:gridCol w:w="1000"/>
        <w:gridCol w:w="977"/>
        <w:gridCol w:w="988"/>
        <w:gridCol w:w="989"/>
        <w:gridCol w:w="988"/>
        <w:gridCol w:w="989"/>
        <w:gridCol w:w="989"/>
      </w:tblGrid>
      <w:tr w:rsidR="002746B1" w:rsidRPr="002746B1" w14:paraId="5FBAAE12" w14:textId="77777777" w:rsidTr="002746B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3995" w:type="dxa"/>
            <w:gridSpan w:val="11"/>
            <w:tcBorders>
              <w:top w:val="nil"/>
              <w:left w:val="nil"/>
              <w:right w:val="nil"/>
            </w:tcBorders>
            <w:shd w:val="clear" w:color="auto" w:fill="auto"/>
            <w:vAlign w:val="center"/>
          </w:tcPr>
          <w:p w14:paraId="7E5D6362" w14:textId="6D6577C3" w:rsidR="002746B1" w:rsidRPr="002746B1" w:rsidRDefault="002746B1" w:rsidP="000C0333">
            <w:pPr>
              <w:pStyle w:val="FSTableTitle"/>
              <w:rPr>
                <w:b/>
                <w:color w:val="auto"/>
                <w:sz w:val="20"/>
                <w:lang w:eastAsia="en-GB"/>
              </w:rPr>
            </w:pPr>
            <w:r w:rsidRPr="002746B1">
              <w:rPr>
                <w:b/>
                <w:color w:val="auto"/>
              </w:rPr>
              <w:t xml:space="preserve">Table </w:t>
            </w:r>
            <w:r w:rsidRPr="002746B1">
              <w:fldChar w:fldCharType="begin"/>
            </w:r>
            <w:r w:rsidRPr="002746B1">
              <w:rPr>
                <w:b/>
                <w:color w:val="auto"/>
              </w:rPr>
              <w:instrText xml:space="preserve"> SEQ Table \* ARABIC </w:instrText>
            </w:r>
            <w:r w:rsidRPr="002746B1">
              <w:fldChar w:fldCharType="separate"/>
            </w:r>
            <w:r w:rsidR="00E202C8">
              <w:rPr>
                <w:b/>
                <w:noProof/>
                <w:color w:val="auto"/>
              </w:rPr>
              <w:t>7</w:t>
            </w:r>
            <w:r w:rsidRPr="002746B1">
              <w:fldChar w:fldCharType="end"/>
            </w:r>
            <w:r w:rsidRPr="002746B1">
              <w:rPr>
                <w:b/>
                <w:color w:val="auto"/>
              </w:rPr>
              <w:t xml:space="preserve">: Food </w:t>
            </w:r>
            <w:r w:rsidR="000C0333">
              <w:rPr>
                <w:b/>
                <w:color w:val="auto"/>
              </w:rPr>
              <w:t>classes</w:t>
            </w:r>
            <w:r w:rsidR="000C0333" w:rsidRPr="002746B1">
              <w:rPr>
                <w:b/>
                <w:color w:val="auto"/>
              </w:rPr>
              <w:t xml:space="preserve"> </w:t>
            </w:r>
            <w:r w:rsidRPr="002746B1">
              <w:rPr>
                <w:b/>
                <w:color w:val="auto"/>
              </w:rPr>
              <w:t xml:space="preserve">and their contribution to estimated dietary exposures to </w:t>
            </w:r>
            <w:r w:rsidR="004C28B5">
              <w:rPr>
                <w:b/>
                <w:color w:val="auto"/>
              </w:rPr>
              <w:t>j</w:t>
            </w:r>
            <w:r w:rsidR="005F7B7D" w:rsidRPr="005F7B7D">
              <w:rPr>
                <w:b/>
                <w:color w:val="auto"/>
              </w:rPr>
              <w:t>elly mushroom glycolipids</w:t>
            </w:r>
            <w:r w:rsidR="000C0333">
              <w:rPr>
                <w:b/>
                <w:color w:val="auto"/>
              </w:rPr>
              <w:t xml:space="preserve"> for Australian and New Zealand population groups</w:t>
            </w:r>
          </w:p>
        </w:tc>
      </w:tr>
      <w:tr w:rsidR="001C59CB" w:rsidRPr="00B93C5D" w14:paraId="38887A9E" w14:textId="77777777" w:rsidTr="002746B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46" w:type="dxa"/>
            <w:vMerge w:val="restart"/>
            <w:vAlign w:val="center"/>
          </w:tcPr>
          <w:p w14:paraId="11BA6E7D" w14:textId="77777777" w:rsidR="001C59CB" w:rsidRPr="00A20657" w:rsidRDefault="001C59CB" w:rsidP="00C156A4">
            <w:pPr>
              <w:keepNext/>
              <w:keepLines/>
              <w:spacing w:before="120"/>
              <w:jc w:val="center"/>
              <w:rPr>
                <w:rFonts w:eastAsia="Times New Roman"/>
                <w:color w:val="000000"/>
                <w:sz w:val="20"/>
                <w:lang w:val="en-GB" w:eastAsia="en-GB"/>
              </w:rPr>
            </w:pPr>
            <w:r w:rsidRPr="00A20657">
              <w:rPr>
                <w:rFonts w:eastAsia="Times New Roman"/>
                <w:bCs w:val="0"/>
                <w:color w:val="000000"/>
                <w:sz w:val="20"/>
                <w:lang w:val="en-GB" w:eastAsia="en-GB"/>
              </w:rPr>
              <w:t>Food code</w:t>
            </w:r>
          </w:p>
        </w:tc>
        <w:tc>
          <w:tcPr>
            <w:tcW w:w="4252" w:type="dxa"/>
            <w:vMerge w:val="restart"/>
            <w:noWrap/>
            <w:vAlign w:val="center"/>
            <w:hideMark/>
          </w:tcPr>
          <w:p w14:paraId="382D7A77" w14:textId="196C2817" w:rsidR="001C59CB" w:rsidRPr="00A20657" w:rsidRDefault="001C59CB" w:rsidP="000C0333">
            <w:pPr>
              <w:keepNext/>
              <w:keepLines/>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val="en-GB" w:eastAsia="en-GB"/>
              </w:rPr>
            </w:pPr>
            <w:r w:rsidRPr="00A20657">
              <w:rPr>
                <w:rFonts w:eastAsia="Times New Roman"/>
                <w:color w:val="000000"/>
                <w:sz w:val="20"/>
                <w:lang w:val="en-GB" w:eastAsia="en-GB"/>
              </w:rPr>
              <w:t xml:space="preserve">Food </w:t>
            </w:r>
            <w:r w:rsidR="000C0333">
              <w:rPr>
                <w:rFonts w:eastAsia="Times New Roman"/>
                <w:color w:val="000000"/>
                <w:sz w:val="20"/>
                <w:lang w:val="en-GB" w:eastAsia="en-GB"/>
              </w:rPr>
              <w:t>class</w:t>
            </w:r>
            <w:r w:rsidR="000C0333" w:rsidRPr="00A20657">
              <w:rPr>
                <w:rFonts w:eastAsia="Times New Roman"/>
                <w:color w:val="000000"/>
                <w:sz w:val="20"/>
                <w:lang w:val="en-GB" w:eastAsia="en-GB"/>
              </w:rPr>
              <w:t xml:space="preserve"> </w:t>
            </w:r>
            <w:r w:rsidRPr="00A20657">
              <w:rPr>
                <w:rFonts w:eastAsia="Times New Roman"/>
                <w:color w:val="000000"/>
                <w:sz w:val="20"/>
                <w:lang w:val="en-GB" w:eastAsia="en-GB"/>
              </w:rPr>
              <w:t>as requested by Applicant</w:t>
            </w:r>
          </w:p>
        </w:tc>
        <w:tc>
          <w:tcPr>
            <w:tcW w:w="8897" w:type="dxa"/>
            <w:gridSpan w:val="9"/>
            <w:noWrap/>
            <w:hideMark/>
          </w:tcPr>
          <w:p w14:paraId="43C004E4" w14:textId="77777777" w:rsidR="001C59CB" w:rsidRPr="00A20657" w:rsidRDefault="001C59CB" w:rsidP="00C156A4">
            <w:pPr>
              <w:keepNext/>
              <w:keepLines/>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val="en-GB" w:eastAsia="en-GB"/>
              </w:rPr>
            </w:pPr>
            <w:r w:rsidRPr="00A20657">
              <w:rPr>
                <w:rFonts w:eastAsia="Times New Roman"/>
                <w:color w:val="000000"/>
                <w:sz w:val="20"/>
                <w:lang w:val="en-GB" w:eastAsia="en-GB"/>
              </w:rPr>
              <w:t>% contribution</w:t>
            </w:r>
          </w:p>
        </w:tc>
      </w:tr>
      <w:tr w:rsidR="001C59CB" w:rsidRPr="00B93C5D" w14:paraId="35EE0AE2" w14:textId="77777777" w:rsidTr="002746B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46" w:type="dxa"/>
            <w:vMerge/>
          </w:tcPr>
          <w:p w14:paraId="66D4C66E" w14:textId="77777777" w:rsidR="001C59CB" w:rsidRPr="00A20657" w:rsidRDefault="001C59CB" w:rsidP="00C156A4">
            <w:pPr>
              <w:keepNext/>
              <w:keepLines/>
              <w:spacing w:before="120"/>
              <w:rPr>
                <w:rFonts w:eastAsia="Times New Roman"/>
                <w:bCs w:val="0"/>
                <w:color w:val="000000"/>
                <w:sz w:val="20"/>
                <w:lang w:val="en-GB" w:eastAsia="en-GB"/>
              </w:rPr>
            </w:pPr>
          </w:p>
        </w:tc>
        <w:tc>
          <w:tcPr>
            <w:tcW w:w="4252" w:type="dxa"/>
            <w:vMerge/>
          </w:tcPr>
          <w:p w14:paraId="0BCD4B4C" w14:textId="77777777" w:rsidR="001C59CB" w:rsidRPr="00A20657" w:rsidRDefault="001C59CB" w:rsidP="00C156A4">
            <w:pPr>
              <w:spacing w:before="120"/>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lang w:val="en-GB" w:eastAsia="en-GB"/>
              </w:rPr>
            </w:pPr>
          </w:p>
        </w:tc>
        <w:tc>
          <w:tcPr>
            <w:tcW w:w="2977" w:type="dxa"/>
            <w:gridSpan w:val="3"/>
            <w:noWrap/>
          </w:tcPr>
          <w:p w14:paraId="5DCE5436" w14:textId="77777777" w:rsidR="001C59CB" w:rsidRPr="00A20657" w:rsidRDefault="001C59CB" w:rsidP="00C156A4">
            <w:pPr>
              <w:keepNext/>
              <w:keepLines/>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lang w:val="en-GB" w:eastAsia="en-GB"/>
              </w:rPr>
            </w:pPr>
            <w:r w:rsidRPr="00A20657">
              <w:rPr>
                <w:rFonts w:eastAsia="Times New Roman"/>
                <w:bCs w:val="0"/>
                <w:color w:val="000000"/>
                <w:sz w:val="20"/>
                <w:lang w:val="en-GB" w:eastAsia="en-GB"/>
              </w:rPr>
              <w:t>Australia</w:t>
            </w:r>
          </w:p>
        </w:tc>
        <w:tc>
          <w:tcPr>
            <w:tcW w:w="5920" w:type="dxa"/>
            <w:gridSpan w:val="6"/>
            <w:noWrap/>
          </w:tcPr>
          <w:p w14:paraId="4F817EE6" w14:textId="77777777" w:rsidR="001C59CB" w:rsidRPr="00A20657" w:rsidRDefault="001C59CB" w:rsidP="00C156A4">
            <w:pPr>
              <w:keepNext/>
              <w:keepLines/>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lang w:val="en-GB" w:eastAsia="en-GB"/>
              </w:rPr>
            </w:pPr>
            <w:r w:rsidRPr="00A20657">
              <w:rPr>
                <w:rFonts w:eastAsia="Times New Roman"/>
                <w:bCs w:val="0"/>
                <w:color w:val="000000"/>
                <w:sz w:val="20"/>
                <w:lang w:val="en-GB" w:eastAsia="en-GB"/>
              </w:rPr>
              <w:t>New Zealand</w:t>
            </w:r>
          </w:p>
        </w:tc>
      </w:tr>
      <w:tr w:rsidR="001C59CB" w:rsidRPr="00B93C5D" w14:paraId="2A4B7135" w14:textId="77777777" w:rsidTr="002746B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46" w:type="dxa"/>
            <w:vMerge/>
          </w:tcPr>
          <w:p w14:paraId="082444F7" w14:textId="77777777" w:rsidR="001C59CB" w:rsidRPr="00A20657" w:rsidRDefault="001C59CB" w:rsidP="00C156A4">
            <w:pPr>
              <w:keepNext/>
              <w:keepLines/>
              <w:spacing w:before="120"/>
              <w:rPr>
                <w:rFonts w:eastAsia="Times New Roman"/>
                <w:bCs w:val="0"/>
                <w:color w:val="000000"/>
                <w:sz w:val="20"/>
                <w:lang w:val="en-GB" w:eastAsia="en-GB"/>
              </w:rPr>
            </w:pPr>
          </w:p>
        </w:tc>
        <w:tc>
          <w:tcPr>
            <w:tcW w:w="4252" w:type="dxa"/>
            <w:vMerge/>
            <w:hideMark/>
          </w:tcPr>
          <w:p w14:paraId="7276686E" w14:textId="77777777" w:rsidR="001C59CB" w:rsidRPr="00A20657" w:rsidRDefault="001C59CB" w:rsidP="00C156A4">
            <w:pPr>
              <w:spacing w:before="120"/>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val="en-GB" w:eastAsia="en-GB"/>
              </w:rPr>
            </w:pPr>
          </w:p>
        </w:tc>
        <w:tc>
          <w:tcPr>
            <w:tcW w:w="2977" w:type="dxa"/>
            <w:gridSpan w:val="3"/>
            <w:noWrap/>
            <w:hideMark/>
          </w:tcPr>
          <w:p w14:paraId="439146B6" w14:textId="77777777" w:rsidR="001C59CB" w:rsidRPr="00A20657" w:rsidRDefault="001C59CB" w:rsidP="00C156A4">
            <w:pPr>
              <w:keepNext/>
              <w:keepLines/>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val="en-GB" w:eastAsia="en-GB"/>
              </w:rPr>
            </w:pPr>
            <w:r w:rsidRPr="00A20657">
              <w:rPr>
                <w:rFonts w:eastAsia="Times New Roman"/>
                <w:color w:val="000000"/>
                <w:sz w:val="20"/>
                <w:lang w:val="en-GB" w:eastAsia="en-GB"/>
              </w:rPr>
              <w:t>2 years and above</w:t>
            </w:r>
            <w:r w:rsidRPr="00B93C5D">
              <w:rPr>
                <w:rFonts w:eastAsia="Times New Roman"/>
                <w:color w:val="auto"/>
                <w:sz w:val="20"/>
                <w:vertAlign w:val="superscript"/>
                <w:lang w:val="en-GB"/>
              </w:rPr>
              <w:sym w:font="Wingdings" w:char="F076"/>
            </w:r>
          </w:p>
        </w:tc>
        <w:tc>
          <w:tcPr>
            <w:tcW w:w="2954" w:type="dxa"/>
            <w:gridSpan w:val="3"/>
            <w:noWrap/>
            <w:hideMark/>
          </w:tcPr>
          <w:p w14:paraId="37528C9C" w14:textId="77777777" w:rsidR="001C59CB" w:rsidRPr="00A20657" w:rsidRDefault="001C59CB" w:rsidP="00C156A4">
            <w:pPr>
              <w:keepNext/>
              <w:keepLines/>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val="en-GB" w:eastAsia="en-GB"/>
              </w:rPr>
            </w:pPr>
            <w:r w:rsidRPr="00A20657">
              <w:rPr>
                <w:rFonts w:eastAsia="Times New Roman"/>
                <w:color w:val="000000"/>
                <w:sz w:val="20"/>
                <w:lang w:val="en-GB" w:eastAsia="en-GB"/>
              </w:rPr>
              <w:t>15 years and above</w:t>
            </w:r>
            <w:r w:rsidRPr="00B93C5D">
              <w:rPr>
                <w:rFonts w:eastAsia="Times New Roman"/>
                <w:color w:val="auto"/>
                <w:sz w:val="20"/>
                <w:vertAlign w:val="superscript"/>
                <w:lang w:val="en-GB"/>
              </w:rPr>
              <w:sym w:font="Wingdings 3" w:char="F073"/>
            </w:r>
          </w:p>
        </w:tc>
        <w:tc>
          <w:tcPr>
            <w:tcW w:w="2966" w:type="dxa"/>
            <w:gridSpan w:val="3"/>
            <w:noWrap/>
            <w:hideMark/>
          </w:tcPr>
          <w:p w14:paraId="74E90400" w14:textId="77777777" w:rsidR="001C59CB" w:rsidRPr="00A20657" w:rsidRDefault="001C59CB" w:rsidP="00C156A4">
            <w:pPr>
              <w:keepNext/>
              <w:keepLines/>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val="en-GB" w:eastAsia="en-GB"/>
              </w:rPr>
            </w:pPr>
            <w:r w:rsidRPr="00A20657">
              <w:rPr>
                <w:rFonts w:eastAsia="Times New Roman"/>
                <w:color w:val="000000"/>
                <w:sz w:val="20"/>
                <w:lang w:val="en-GB" w:eastAsia="en-GB"/>
              </w:rPr>
              <w:t>5-14 years</w:t>
            </w:r>
            <w:r w:rsidRPr="00B93C5D">
              <w:rPr>
                <w:rFonts w:eastAsia="Times New Roman"/>
                <w:color w:val="auto"/>
                <w:sz w:val="20"/>
                <w:vertAlign w:val="superscript"/>
                <w:lang w:val="en-GB"/>
              </w:rPr>
              <w:sym w:font="Wingdings 3" w:char="F073"/>
            </w:r>
          </w:p>
        </w:tc>
      </w:tr>
      <w:tr w:rsidR="001C59CB" w:rsidRPr="00B93C5D" w14:paraId="5E84444C" w14:textId="77777777" w:rsidTr="002746B1">
        <w:trPr>
          <w:cnfStyle w:val="100000000000" w:firstRow="1" w:lastRow="0" w:firstColumn="0" w:lastColumn="0" w:oddVBand="0" w:evenVBand="0" w:oddHBand="0" w:evenHBand="0" w:firstRowFirstColumn="0" w:firstRowLastColumn="0" w:lastRowFirstColumn="0" w:lastRowLastColumn="0"/>
          <w:trHeight w:val="765"/>
          <w:tblHeader/>
        </w:trPr>
        <w:tc>
          <w:tcPr>
            <w:cnfStyle w:val="001000000000" w:firstRow="0" w:lastRow="0" w:firstColumn="1" w:lastColumn="0" w:oddVBand="0" w:evenVBand="0" w:oddHBand="0" w:evenHBand="0" w:firstRowFirstColumn="0" w:firstRowLastColumn="0" w:lastRowFirstColumn="0" w:lastRowLastColumn="0"/>
            <w:tcW w:w="846" w:type="dxa"/>
            <w:vMerge/>
          </w:tcPr>
          <w:p w14:paraId="2B42C5D0" w14:textId="77777777" w:rsidR="001C59CB" w:rsidRPr="00A20657" w:rsidRDefault="001C59CB" w:rsidP="00C156A4">
            <w:pPr>
              <w:keepNext/>
              <w:keepLines/>
              <w:spacing w:before="120"/>
              <w:rPr>
                <w:rFonts w:eastAsia="Times New Roman"/>
                <w:b w:val="0"/>
                <w:bCs w:val="0"/>
                <w:color w:val="000000"/>
                <w:sz w:val="20"/>
                <w:lang w:val="en-GB" w:eastAsia="en-GB"/>
              </w:rPr>
            </w:pPr>
          </w:p>
        </w:tc>
        <w:tc>
          <w:tcPr>
            <w:tcW w:w="4252" w:type="dxa"/>
            <w:vMerge/>
            <w:hideMark/>
          </w:tcPr>
          <w:p w14:paraId="3BAB81F2" w14:textId="77777777" w:rsidR="001C59CB" w:rsidRPr="00A20657" w:rsidRDefault="001C59CB" w:rsidP="00C156A4">
            <w:pPr>
              <w:spacing w:before="120"/>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val="en-GB" w:eastAsia="en-GB"/>
              </w:rPr>
            </w:pPr>
          </w:p>
        </w:tc>
        <w:tc>
          <w:tcPr>
            <w:tcW w:w="988" w:type="dxa"/>
            <w:hideMark/>
          </w:tcPr>
          <w:p w14:paraId="3DA50265" w14:textId="77777777" w:rsidR="001C59CB" w:rsidRPr="00A20657" w:rsidRDefault="001C59CB" w:rsidP="00C156A4">
            <w:pPr>
              <w:keepNext/>
              <w:keepLines/>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
                <w:iCs/>
                <w:color w:val="auto"/>
                <w:sz w:val="20"/>
                <w:lang w:val="en-GB" w:eastAsia="en-GB"/>
              </w:rPr>
            </w:pPr>
            <w:r w:rsidRPr="00A20657">
              <w:rPr>
                <w:rFonts w:eastAsia="Times New Roman"/>
                <w:i/>
                <w:iCs/>
                <w:color w:val="auto"/>
                <w:sz w:val="20"/>
                <w:lang w:val="en-GB" w:eastAsia="en-GB"/>
              </w:rPr>
              <w:t>General MPL</w:t>
            </w:r>
          </w:p>
        </w:tc>
        <w:tc>
          <w:tcPr>
            <w:tcW w:w="989" w:type="dxa"/>
            <w:hideMark/>
          </w:tcPr>
          <w:p w14:paraId="7E59C297" w14:textId="77777777" w:rsidR="001C59CB" w:rsidRPr="00A20657" w:rsidRDefault="001C59CB" w:rsidP="00C156A4">
            <w:pPr>
              <w:keepNext/>
              <w:keepLines/>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
                <w:iCs/>
                <w:color w:val="auto"/>
                <w:sz w:val="20"/>
                <w:lang w:val="en-GB" w:eastAsia="en-GB"/>
              </w:rPr>
            </w:pPr>
            <w:r w:rsidRPr="00A20657">
              <w:rPr>
                <w:rFonts w:eastAsia="Times New Roman"/>
                <w:i/>
                <w:iCs/>
                <w:color w:val="auto"/>
                <w:sz w:val="20"/>
                <w:lang w:val="en-GB" w:eastAsia="en-GB"/>
              </w:rPr>
              <w:t>Specific MPL</w:t>
            </w:r>
          </w:p>
        </w:tc>
        <w:tc>
          <w:tcPr>
            <w:tcW w:w="1000" w:type="dxa"/>
            <w:hideMark/>
          </w:tcPr>
          <w:p w14:paraId="548B1C41" w14:textId="77777777" w:rsidR="001C59CB" w:rsidRPr="00A20657" w:rsidRDefault="001C59CB" w:rsidP="00C156A4">
            <w:pPr>
              <w:keepNext/>
              <w:keepLines/>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
                <w:iCs/>
                <w:color w:val="auto"/>
                <w:sz w:val="20"/>
                <w:lang w:val="en-GB" w:eastAsia="en-GB"/>
              </w:rPr>
            </w:pPr>
            <w:r w:rsidRPr="00A20657">
              <w:rPr>
                <w:rFonts w:eastAsia="Times New Roman"/>
                <w:i/>
                <w:iCs/>
                <w:color w:val="auto"/>
                <w:sz w:val="20"/>
                <w:lang w:val="en-GB" w:eastAsia="en-GB"/>
              </w:rPr>
              <w:t>Usual Use</w:t>
            </w:r>
          </w:p>
        </w:tc>
        <w:tc>
          <w:tcPr>
            <w:tcW w:w="977" w:type="dxa"/>
            <w:hideMark/>
          </w:tcPr>
          <w:p w14:paraId="77C7DE20" w14:textId="77777777" w:rsidR="001C59CB" w:rsidRPr="00A20657" w:rsidRDefault="001C59CB" w:rsidP="00C156A4">
            <w:pPr>
              <w:keepNext/>
              <w:keepLines/>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
                <w:iCs/>
                <w:color w:val="auto"/>
                <w:sz w:val="20"/>
                <w:lang w:val="en-GB" w:eastAsia="en-GB"/>
              </w:rPr>
            </w:pPr>
            <w:r w:rsidRPr="00A20657">
              <w:rPr>
                <w:rFonts w:eastAsia="Times New Roman"/>
                <w:i/>
                <w:iCs/>
                <w:color w:val="auto"/>
                <w:sz w:val="20"/>
                <w:lang w:val="en-GB" w:eastAsia="en-GB"/>
              </w:rPr>
              <w:t>General MPL</w:t>
            </w:r>
          </w:p>
        </w:tc>
        <w:tc>
          <w:tcPr>
            <w:tcW w:w="988" w:type="dxa"/>
            <w:hideMark/>
          </w:tcPr>
          <w:p w14:paraId="49A15CC6" w14:textId="77777777" w:rsidR="001C59CB" w:rsidRPr="00A20657" w:rsidRDefault="001C59CB" w:rsidP="00C156A4">
            <w:pPr>
              <w:keepNext/>
              <w:keepLines/>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
                <w:iCs/>
                <w:color w:val="auto"/>
                <w:sz w:val="20"/>
                <w:lang w:val="en-GB" w:eastAsia="en-GB"/>
              </w:rPr>
            </w:pPr>
            <w:r w:rsidRPr="00A20657">
              <w:rPr>
                <w:rFonts w:eastAsia="Times New Roman"/>
                <w:i/>
                <w:iCs/>
                <w:color w:val="auto"/>
                <w:sz w:val="20"/>
                <w:lang w:val="en-GB" w:eastAsia="en-GB"/>
              </w:rPr>
              <w:t>Specific MPL</w:t>
            </w:r>
          </w:p>
        </w:tc>
        <w:tc>
          <w:tcPr>
            <w:tcW w:w="989" w:type="dxa"/>
            <w:hideMark/>
          </w:tcPr>
          <w:p w14:paraId="4E70E82D" w14:textId="77777777" w:rsidR="001C59CB" w:rsidRPr="00A20657" w:rsidRDefault="001C59CB" w:rsidP="00C156A4">
            <w:pPr>
              <w:keepNext/>
              <w:keepLines/>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
                <w:iCs/>
                <w:color w:val="auto"/>
                <w:sz w:val="20"/>
                <w:lang w:val="en-GB" w:eastAsia="en-GB"/>
              </w:rPr>
            </w:pPr>
            <w:r w:rsidRPr="00A20657">
              <w:rPr>
                <w:rFonts w:eastAsia="Times New Roman"/>
                <w:i/>
                <w:iCs/>
                <w:color w:val="auto"/>
                <w:sz w:val="20"/>
                <w:lang w:val="en-GB" w:eastAsia="en-GB"/>
              </w:rPr>
              <w:t>Usual Use</w:t>
            </w:r>
          </w:p>
        </w:tc>
        <w:tc>
          <w:tcPr>
            <w:tcW w:w="988" w:type="dxa"/>
            <w:hideMark/>
          </w:tcPr>
          <w:p w14:paraId="5C87F4CA" w14:textId="77777777" w:rsidR="001C59CB" w:rsidRPr="00A20657" w:rsidRDefault="001C59CB" w:rsidP="00C156A4">
            <w:pPr>
              <w:keepNext/>
              <w:keepLines/>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
                <w:iCs/>
                <w:color w:val="auto"/>
                <w:sz w:val="20"/>
                <w:lang w:val="en-GB" w:eastAsia="en-GB"/>
              </w:rPr>
            </w:pPr>
            <w:r w:rsidRPr="00A20657">
              <w:rPr>
                <w:rFonts w:eastAsia="Times New Roman"/>
                <w:i/>
                <w:iCs/>
                <w:color w:val="auto"/>
                <w:sz w:val="20"/>
                <w:lang w:val="en-GB" w:eastAsia="en-GB"/>
              </w:rPr>
              <w:t>General MPL</w:t>
            </w:r>
          </w:p>
        </w:tc>
        <w:tc>
          <w:tcPr>
            <w:tcW w:w="989" w:type="dxa"/>
            <w:hideMark/>
          </w:tcPr>
          <w:p w14:paraId="66C6DF8B" w14:textId="77777777" w:rsidR="001C59CB" w:rsidRPr="00A20657" w:rsidRDefault="001C59CB" w:rsidP="00C156A4">
            <w:pPr>
              <w:keepNext/>
              <w:keepLines/>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
                <w:iCs/>
                <w:color w:val="auto"/>
                <w:sz w:val="20"/>
                <w:lang w:val="en-GB" w:eastAsia="en-GB"/>
              </w:rPr>
            </w:pPr>
            <w:r w:rsidRPr="00A20657">
              <w:rPr>
                <w:rFonts w:eastAsia="Times New Roman"/>
                <w:i/>
                <w:iCs/>
                <w:color w:val="auto"/>
                <w:sz w:val="20"/>
                <w:lang w:val="en-GB" w:eastAsia="en-GB"/>
              </w:rPr>
              <w:t>Specific MPL</w:t>
            </w:r>
          </w:p>
        </w:tc>
        <w:tc>
          <w:tcPr>
            <w:tcW w:w="989" w:type="dxa"/>
            <w:hideMark/>
          </w:tcPr>
          <w:p w14:paraId="767AC27E" w14:textId="77777777" w:rsidR="001C59CB" w:rsidRPr="00A20657" w:rsidRDefault="001C59CB" w:rsidP="00C156A4">
            <w:pPr>
              <w:keepNext/>
              <w:keepLines/>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
                <w:iCs/>
                <w:color w:val="auto"/>
                <w:sz w:val="20"/>
                <w:lang w:val="en-GB" w:eastAsia="en-GB"/>
              </w:rPr>
            </w:pPr>
            <w:r w:rsidRPr="00A20657">
              <w:rPr>
                <w:rFonts w:eastAsia="Times New Roman"/>
                <w:i/>
                <w:iCs/>
                <w:color w:val="auto"/>
                <w:sz w:val="20"/>
                <w:lang w:val="en-GB" w:eastAsia="en-GB"/>
              </w:rPr>
              <w:t>Usual Use</w:t>
            </w:r>
          </w:p>
        </w:tc>
      </w:tr>
      <w:tr w:rsidR="001C59CB" w:rsidRPr="00B93C5D" w14:paraId="3F2D996D" w14:textId="77777777" w:rsidTr="002746B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46" w:type="dxa"/>
          </w:tcPr>
          <w:p w14:paraId="133D0070" w14:textId="77777777" w:rsidR="001C59CB" w:rsidRPr="00A20657" w:rsidRDefault="001C59CB" w:rsidP="00C156A4">
            <w:pPr>
              <w:keepNext/>
              <w:keepLines/>
              <w:spacing w:before="120"/>
              <w:rPr>
                <w:color w:val="000000"/>
                <w:sz w:val="20"/>
              </w:rPr>
            </w:pPr>
            <w:r w:rsidRPr="00A20657">
              <w:rPr>
                <w:color w:val="000000"/>
                <w:sz w:val="20"/>
              </w:rPr>
              <w:t>14.1</w:t>
            </w:r>
          </w:p>
        </w:tc>
        <w:tc>
          <w:tcPr>
            <w:tcW w:w="4252" w:type="dxa"/>
            <w:noWrap/>
            <w:hideMark/>
          </w:tcPr>
          <w:p w14:paraId="26468096" w14:textId="77777777" w:rsidR="001C59CB" w:rsidRPr="00A20657" w:rsidRDefault="001C59CB" w:rsidP="00C156A4">
            <w:pPr>
              <w:keepNext/>
              <w:keepLines/>
              <w:spacing w:before="120"/>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Flavoured mineral water and plant-based milk alternatives</w:t>
            </w:r>
          </w:p>
        </w:tc>
        <w:tc>
          <w:tcPr>
            <w:tcW w:w="988" w:type="dxa"/>
            <w:noWrap/>
            <w:hideMark/>
          </w:tcPr>
          <w:p w14:paraId="79BFC14C"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9</w:t>
            </w:r>
          </w:p>
        </w:tc>
        <w:tc>
          <w:tcPr>
            <w:tcW w:w="989" w:type="dxa"/>
            <w:noWrap/>
            <w:hideMark/>
          </w:tcPr>
          <w:p w14:paraId="4C677366"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14</w:t>
            </w:r>
          </w:p>
        </w:tc>
        <w:tc>
          <w:tcPr>
            <w:tcW w:w="1000" w:type="dxa"/>
            <w:noWrap/>
            <w:hideMark/>
          </w:tcPr>
          <w:p w14:paraId="37C2F462"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15</w:t>
            </w:r>
          </w:p>
        </w:tc>
        <w:tc>
          <w:tcPr>
            <w:tcW w:w="977" w:type="dxa"/>
            <w:noWrap/>
            <w:hideMark/>
          </w:tcPr>
          <w:p w14:paraId="4D2635C2"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23</w:t>
            </w:r>
          </w:p>
        </w:tc>
        <w:tc>
          <w:tcPr>
            <w:tcW w:w="988" w:type="dxa"/>
            <w:noWrap/>
            <w:hideMark/>
          </w:tcPr>
          <w:p w14:paraId="4DE92B5E"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33</w:t>
            </w:r>
          </w:p>
        </w:tc>
        <w:tc>
          <w:tcPr>
            <w:tcW w:w="989" w:type="dxa"/>
            <w:noWrap/>
            <w:hideMark/>
          </w:tcPr>
          <w:p w14:paraId="05319177"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35</w:t>
            </w:r>
          </w:p>
        </w:tc>
        <w:tc>
          <w:tcPr>
            <w:tcW w:w="988" w:type="dxa"/>
            <w:noWrap/>
            <w:hideMark/>
          </w:tcPr>
          <w:p w14:paraId="59A62D50" w14:textId="77777777" w:rsidR="001C59CB" w:rsidRPr="00392EA2"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22</w:t>
            </w:r>
          </w:p>
        </w:tc>
        <w:tc>
          <w:tcPr>
            <w:tcW w:w="989" w:type="dxa"/>
            <w:noWrap/>
            <w:hideMark/>
          </w:tcPr>
          <w:p w14:paraId="572540E9" w14:textId="77777777" w:rsidR="001C59CB" w:rsidRPr="00392EA2"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31</w:t>
            </w:r>
          </w:p>
        </w:tc>
        <w:tc>
          <w:tcPr>
            <w:tcW w:w="989" w:type="dxa"/>
            <w:noWrap/>
            <w:hideMark/>
          </w:tcPr>
          <w:p w14:paraId="4B38053C" w14:textId="77777777" w:rsidR="001C59CB" w:rsidRPr="00392EA2"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33</w:t>
            </w:r>
          </w:p>
        </w:tc>
      </w:tr>
      <w:tr w:rsidR="001C59CB" w:rsidRPr="00B93C5D" w14:paraId="3B7990A4" w14:textId="77777777" w:rsidTr="002746B1">
        <w:trPr>
          <w:trHeight w:val="285"/>
        </w:trPr>
        <w:tc>
          <w:tcPr>
            <w:cnfStyle w:val="001000000000" w:firstRow="0" w:lastRow="0" w:firstColumn="1" w:lastColumn="0" w:oddVBand="0" w:evenVBand="0" w:oddHBand="0" w:evenHBand="0" w:firstRowFirstColumn="0" w:firstRowLastColumn="0" w:lastRowFirstColumn="0" w:lastRowLastColumn="0"/>
            <w:tcW w:w="846" w:type="dxa"/>
          </w:tcPr>
          <w:p w14:paraId="5363C124" w14:textId="77777777" w:rsidR="001C59CB" w:rsidRPr="00B93C5D" w:rsidRDefault="001C59CB" w:rsidP="00C156A4">
            <w:pPr>
              <w:keepNext/>
              <w:keepLines/>
              <w:spacing w:before="120"/>
              <w:rPr>
                <w:color w:val="000000"/>
                <w:sz w:val="20"/>
              </w:rPr>
            </w:pPr>
            <w:r w:rsidRPr="00B93C5D">
              <w:rPr>
                <w:color w:val="000000"/>
                <w:sz w:val="20"/>
              </w:rPr>
              <w:t>14.1.2</w:t>
            </w:r>
          </w:p>
        </w:tc>
        <w:tc>
          <w:tcPr>
            <w:tcW w:w="4252" w:type="dxa"/>
            <w:noWrap/>
            <w:hideMark/>
          </w:tcPr>
          <w:p w14:paraId="34F5540D" w14:textId="77777777" w:rsidR="001C59CB" w:rsidRPr="00A20657" w:rsidRDefault="001C59CB" w:rsidP="00C156A4">
            <w:pPr>
              <w:keepNext/>
              <w:keepLines/>
              <w:spacing w:before="120"/>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Fruit and vegetable juices</w:t>
            </w:r>
          </w:p>
        </w:tc>
        <w:tc>
          <w:tcPr>
            <w:tcW w:w="988" w:type="dxa"/>
            <w:noWrap/>
            <w:hideMark/>
          </w:tcPr>
          <w:p w14:paraId="42A6459F"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26</w:t>
            </w:r>
          </w:p>
        </w:tc>
        <w:tc>
          <w:tcPr>
            <w:tcW w:w="989" w:type="dxa"/>
            <w:noWrap/>
            <w:hideMark/>
          </w:tcPr>
          <w:p w14:paraId="7FC9C8DD"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41</w:t>
            </w:r>
          </w:p>
        </w:tc>
        <w:tc>
          <w:tcPr>
            <w:tcW w:w="1000" w:type="dxa"/>
            <w:noWrap/>
            <w:hideMark/>
          </w:tcPr>
          <w:p w14:paraId="7B2BB9E5"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46</w:t>
            </w:r>
          </w:p>
        </w:tc>
        <w:tc>
          <w:tcPr>
            <w:tcW w:w="977" w:type="dxa"/>
            <w:noWrap/>
            <w:hideMark/>
          </w:tcPr>
          <w:p w14:paraId="578790E2"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23</w:t>
            </w:r>
          </w:p>
        </w:tc>
        <w:tc>
          <w:tcPr>
            <w:tcW w:w="988" w:type="dxa"/>
            <w:noWrap/>
            <w:hideMark/>
          </w:tcPr>
          <w:p w14:paraId="06CE1056"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33</w:t>
            </w:r>
          </w:p>
        </w:tc>
        <w:tc>
          <w:tcPr>
            <w:tcW w:w="989" w:type="dxa"/>
            <w:noWrap/>
            <w:hideMark/>
          </w:tcPr>
          <w:p w14:paraId="2A556BBD"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35</w:t>
            </w:r>
          </w:p>
        </w:tc>
        <w:tc>
          <w:tcPr>
            <w:tcW w:w="988" w:type="dxa"/>
            <w:noWrap/>
            <w:hideMark/>
          </w:tcPr>
          <w:p w14:paraId="2A1309DA" w14:textId="77777777" w:rsidR="001C59CB" w:rsidRPr="00392EA2"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28</w:t>
            </w:r>
          </w:p>
        </w:tc>
        <w:tc>
          <w:tcPr>
            <w:tcW w:w="989" w:type="dxa"/>
            <w:noWrap/>
            <w:hideMark/>
          </w:tcPr>
          <w:p w14:paraId="376DC205" w14:textId="77777777" w:rsidR="001C59CB" w:rsidRPr="00392EA2"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39</w:t>
            </w:r>
          </w:p>
        </w:tc>
        <w:tc>
          <w:tcPr>
            <w:tcW w:w="989" w:type="dxa"/>
            <w:noWrap/>
            <w:hideMark/>
          </w:tcPr>
          <w:p w14:paraId="08B8FAC8" w14:textId="77777777" w:rsidR="001C59CB" w:rsidRPr="00392EA2"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41</w:t>
            </w:r>
          </w:p>
        </w:tc>
      </w:tr>
      <w:tr w:rsidR="001C59CB" w:rsidRPr="00B93C5D" w14:paraId="49602A7F" w14:textId="77777777" w:rsidTr="002746B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46" w:type="dxa"/>
          </w:tcPr>
          <w:p w14:paraId="41AEB015" w14:textId="77777777" w:rsidR="001C59CB" w:rsidRPr="00A20657" w:rsidRDefault="001C59CB" w:rsidP="00C156A4">
            <w:pPr>
              <w:keepNext/>
              <w:keepLines/>
              <w:spacing w:before="120"/>
              <w:rPr>
                <w:color w:val="000000"/>
                <w:sz w:val="20"/>
              </w:rPr>
            </w:pPr>
            <w:r w:rsidRPr="00A20657">
              <w:rPr>
                <w:color w:val="000000"/>
                <w:sz w:val="20"/>
              </w:rPr>
              <w:t>14.1.2</w:t>
            </w:r>
          </w:p>
        </w:tc>
        <w:tc>
          <w:tcPr>
            <w:tcW w:w="4252" w:type="dxa"/>
            <w:noWrap/>
            <w:hideMark/>
          </w:tcPr>
          <w:p w14:paraId="65A5DA90" w14:textId="77777777" w:rsidR="001C59CB" w:rsidRPr="00A20657" w:rsidRDefault="001C59CB" w:rsidP="00C156A4">
            <w:pPr>
              <w:keepNext/>
              <w:keepLines/>
              <w:spacing w:before="120"/>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Fruit and vegetable juice products</w:t>
            </w:r>
          </w:p>
        </w:tc>
        <w:tc>
          <w:tcPr>
            <w:tcW w:w="988" w:type="dxa"/>
            <w:noWrap/>
            <w:hideMark/>
          </w:tcPr>
          <w:p w14:paraId="26BEA459"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18</w:t>
            </w:r>
          </w:p>
        </w:tc>
        <w:tc>
          <w:tcPr>
            <w:tcW w:w="989" w:type="dxa"/>
            <w:noWrap/>
            <w:hideMark/>
          </w:tcPr>
          <w:p w14:paraId="7AB3C298"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14</w:t>
            </w:r>
          </w:p>
        </w:tc>
        <w:tc>
          <w:tcPr>
            <w:tcW w:w="1000" w:type="dxa"/>
            <w:noWrap/>
            <w:hideMark/>
          </w:tcPr>
          <w:p w14:paraId="5D3D405F"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6</w:t>
            </w:r>
          </w:p>
        </w:tc>
        <w:tc>
          <w:tcPr>
            <w:tcW w:w="977" w:type="dxa"/>
            <w:noWrap/>
            <w:hideMark/>
          </w:tcPr>
          <w:p w14:paraId="11DB5FCB"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10</w:t>
            </w:r>
          </w:p>
        </w:tc>
        <w:tc>
          <w:tcPr>
            <w:tcW w:w="988" w:type="dxa"/>
            <w:noWrap/>
            <w:hideMark/>
          </w:tcPr>
          <w:p w14:paraId="27F6BC13"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7</w:t>
            </w:r>
          </w:p>
        </w:tc>
        <w:tc>
          <w:tcPr>
            <w:tcW w:w="989" w:type="dxa"/>
            <w:noWrap/>
            <w:hideMark/>
          </w:tcPr>
          <w:p w14:paraId="3F99E9C3"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3</w:t>
            </w:r>
          </w:p>
        </w:tc>
        <w:tc>
          <w:tcPr>
            <w:tcW w:w="988" w:type="dxa"/>
            <w:noWrap/>
            <w:hideMark/>
          </w:tcPr>
          <w:p w14:paraId="0EA9B4E9" w14:textId="77777777" w:rsidR="001C59CB" w:rsidRPr="00392EA2"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9</w:t>
            </w:r>
          </w:p>
        </w:tc>
        <w:tc>
          <w:tcPr>
            <w:tcW w:w="989" w:type="dxa"/>
            <w:noWrap/>
            <w:hideMark/>
          </w:tcPr>
          <w:p w14:paraId="1F8E04AC" w14:textId="77777777" w:rsidR="001C59CB" w:rsidRPr="00392EA2"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val="en-GB" w:eastAsia="en-GB"/>
              </w:rPr>
            </w:pPr>
            <w:r w:rsidRPr="00A20657">
              <w:rPr>
                <w:b/>
                <w:color w:val="000000"/>
                <w:sz w:val="20"/>
              </w:rPr>
              <w:t>6</w:t>
            </w:r>
          </w:p>
        </w:tc>
        <w:tc>
          <w:tcPr>
            <w:tcW w:w="989" w:type="dxa"/>
            <w:noWrap/>
            <w:hideMark/>
          </w:tcPr>
          <w:p w14:paraId="2655EC8A" w14:textId="77777777" w:rsidR="001C59CB" w:rsidRPr="00392EA2"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3</w:t>
            </w:r>
          </w:p>
        </w:tc>
      </w:tr>
      <w:tr w:rsidR="001C59CB" w:rsidRPr="00B93C5D" w14:paraId="4992783E" w14:textId="77777777" w:rsidTr="002746B1">
        <w:trPr>
          <w:trHeight w:val="285"/>
        </w:trPr>
        <w:tc>
          <w:tcPr>
            <w:cnfStyle w:val="001000000000" w:firstRow="0" w:lastRow="0" w:firstColumn="1" w:lastColumn="0" w:oddVBand="0" w:evenVBand="0" w:oddHBand="0" w:evenHBand="0" w:firstRowFirstColumn="0" w:firstRowLastColumn="0" w:lastRowFirstColumn="0" w:lastRowLastColumn="0"/>
            <w:tcW w:w="846" w:type="dxa"/>
          </w:tcPr>
          <w:p w14:paraId="094B251A" w14:textId="77777777" w:rsidR="001C59CB" w:rsidRPr="00A20657" w:rsidRDefault="001C59CB" w:rsidP="00C156A4">
            <w:pPr>
              <w:keepNext/>
              <w:keepLines/>
              <w:spacing w:before="120"/>
              <w:rPr>
                <w:color w:val="000000"/>
                <w:sz w:val="20"/>
              </w:rPr>
            </w:pPr>
            <w:r w:rsidRPr="00A20657">
              <w:rPr>
                <w:color w:val="000000"/>
                <w:sz w:val="20"/>
              </w:rPr>
              <w:t>14.1.3</w:t>
            </w:r>
          </w:p>
        </w:tc>
        <w:tc>
          <w:tcPr>
            <w:tcW w:w="4252" w:type="dxa"/>
            <w:noWrap/>
            <w:hideMark/>
          </w:tcPr>
          <w:p w14:paraId="22DB1D8E" w14:textId="77777777" w:rsidR="001C59CB" w:rsidRPr="00A20657" w:rsidRDefault="001C59CB" w:rsidP="00C156A4">
            <w:pPr>
              <w:keepNext/>
              <w:keepLines/>
              <w:spacing w:before="120"/>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Water based flavoured drinks, excluding</w:t>
            </w:r>
            <w:r>
              <w:rPr>
                <w:b/>
                <w:color w:val="000000"/>
                <w:sz w:val="20"/>
              </w:rPr>
              <w:t xml:space="preserve"> powders, iced teas, brewed soft </w:t>
            </w:r>
            <w:r w:rsidRPr="00A20657">
              <w:rPr>
                <w:b/>
                <w:color w:val="000000"/>
                <w:sz w:val="20"/>
              </w:rPr>
              <w:t>drinks</w:t>
            </w:r>
          </w:p>
        </w:tc>
        <w:tc>
          <w:tcPr>
            <w:tcW w:w="988" w:type="dxa"/>
            <w:noWrap/>
            <w:hideMark/>
          </w:tcPr>
          <w:p w14:paraId="4B099286"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45</w:t>
            </w:r>
          </w:p>
        </w:tc>
        <w:tc>
          <w:tcPr>
            <w:tcW w:w="989" w:type="dxa"/>
            <w:noWrap/>
            <w:hideMark/>
          </w:tcPr>
          <w:p w14:paraId="4946F286"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28</w:t>
            </w:r>
          </w:p>
        </w:tc>
        <w:tc>
          <w:tcPr>
            <w:tcW w:w="1000" w:type="dxa"/>
            <w:noWrap/>
            <w:hideMark/>
          </w:tcPr>
          <w:p w14:paraId="41D2E256"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31</w:t>
            </w:r>
          </w:p>
        </w:tc>
        <w:tc>
          <w:tcPr>
            <w:tcW w:w="977" w:type="dxa"/>
            <w:noWrap/>
            <w:hideMark/>
          </w:tcPr>
          <w:p w14:paraId="5241C70C"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43</w:t>
            </w:r>
          </w:p>
        </w:tc>
        <w:tc>
          <w:tcPr>
            <w:tcW w:w="988" w:type="dxa"/>
            <w:noWrap/>
            <w:hideMark/>
          </w:tcPr>
          <w:p w14:paraId="407DEDFA"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24</w:t>
            </w:r>
          </w:p>
        </w:tc>
        <w:tc>
          <w:tcPr>
            <w:tcW w:w="989" w:type="dxa"/>
            <w:noWrap/>
            <w:hideMark/>
          </w:tcPr>
          <w:p w14:paraId="3A1F68C3"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26</w:t>
            </w:r>
          </w:p>
        </w:tc>
        <w:tc>
          <w:tcPr>
            <w:tcW w:w="988" w:type="dxa"/>
            <w:noWrap/>
            <w:hideMark/>
          </w:tcPr>
          <w:p w14:paraId="6202CB9E" w14:textId="77777777" w:rsidR="001C59CB" w:rsidRPr="00392EA2"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39</w:t>
            </w:r>
          </w:p>
        </w:tc>
        <w:tc>
          <w:tcPr>
            <w:tcW w:w="989" w:type="dxa"/>
            <w:noWrap/>
            <w:hideMark/>
          </w:tcPr>
          <w:p w14:paraId="204A50E1" w14:textId="77777777" w:rsidR="001C59CB" w:rsidRPr="00392EA2"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21</w:t>
            </w:r>
          </w:p>
        </w:tc>
        <w:tc>
          <w:tcPr>
            <w:tcW w:w="989" w:type="dxa"/>
            <w:noWrap/>
            <w:hideMark/>
          </w:tcPr>
          <w:p w14:paraId="5E0D9177" w14:textId="77777777" w:rsidR="001C59CB" w:rsidRPr="00392EA2"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lang w:val="en-GB" w:eastAsia="en-GB"/>
              </w:rPr>
            </w:pPr>
            <w:r w:rsidRPr="00A20657">
              <w:rPr>
                <w:b/>
                <w:color w:val="000000"/>
                <w:sz w:val="20"/>
              </w:rPr>
              <w:t>23</w:t>
            </w:r>
          </w:p>
        </w:tc>
      </w:tr>
      <w:tr w:rsidR="001C59CB" w:rsidRPr="00B93C5D" w14:paraId="7DF9CF56" w14:textId="77777777" w:rsidTr="002746B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46" w:type="dxa"/>
          </w:tcPr>
          <w:p w14:paraId="131BBF96" w14:textId="77777777" w:rsidR="001C59CB" w:rsidRPr="00A20657" w:rsidRDefault="001C59CB" w:rsidP="00C156A4">
            <w:pPr>
              <w:keepNext/>
              <w:keepLines/>
              <w:spacing w:before="120"/>
              <w:rPr>
                <w:b w:val="0"/>
                <w:color w:val="000000"/>
                <w:sz w:val="20"/>
              </w:rPr>
            </w:pPr>
            <w:r w:rsidRPr="00A20657">
              <w:rPr>
                <w:b w:val="0"/>
                <w:color w:val="000000"/>
                <w:sz w:val="20"/>
              </w:rPr>
              <w:t>14.1.3</w:t>
            </w:r>
          </w:p>
        </w:tc>
        <w:tc>
          <w:tcPr>
            <w:tcW w:w="4252" w:type="dxa"/>
            <w:noWrap/>
            <w:hideMark/>
          </w:tcPr>
          <w:p w14:paraId="2A91A7E6" w14:textId="77777777" w:rsidR="001C59CB" w:rsidRPr="00A20657" w:rsidRDefault="001C59CB" w:rsidP="00C156A4">
            <w:pPr>
              <w:keepNext/>
              <w:keepLines/>
              <w:spacing w:before="120"/>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Brewed soft drink</w:t>
            </w:r>
            <w:r>
              <w:rPr>
                <w:color w:val="000000"/>
                <w:sz w:val="20"/>
              </w:rPr>
              <w:t>s</w:t>
            </w:r>
          </w:p>
        </w:tc>
        <w:tc>
          <w:tcPr>
            <w:tcW w:w="988" w:type="dxa"/>
            <w:noWrap/>
            <w:hideMark/>
          </w:tcPr>
          <w:p w14:paraId="30E2E431"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9" w:type="dxa"/>
            <w:noWrap/>
            <w:hideMark/>
          </w:tcPr>
          <w:p w14:paraId="0B590A24"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1</w:t>
            </w:r>
          </w:p>
        </w:tc>
        <w:tc>
          <w:tcPr>
            <w:tcW w:w="1000" w:type="dxa"/>
            <w:noWrap/>
            <w:hideMark/>
          </w:tcPr>
          <w:p w14:paraId="71E6AE7D"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77" w:type="dxa"/>
            <w:noWrap/>
            <w:hideMark/>
          </w:tcPr>
          <w:p w14:paraId="39C0E014"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2</w:t>
            </w:r>
          </w:p>
        </w:tc>
        <w:tc>
          <w:tcPr>
            <w:tcW w:w="988" w:type="dxa"/>
            <w:noWrap/>
            <w:hideMark/>
          </w:tcPr>
          <w:p w14:paraId="3761440C"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2</w:t>
            </w:r>
          </w:p>
        </w:tc>
        <w:tc>
          <w:tcPr>
            <w:tcW w:w="989" w:type="dxa"/>
            <w:noWrap/>
            <w:hideMark/>
          </w:tcPr>
          <w:p w14:paraId="297C3F9A"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8" w:type="dxa"/>
            <w:noWrap/>
            <w:hideMark/>
          </w:tcPr>
          <w:p w14:paraId="1EA0B61D" w14:textId="77777777" w:rsidR="001C59CB" w:rsidRPr="00392EA2"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9" w:type="dxa"/>
            <w:noWrap/>
            <w:hideMark/>
          </w:tcPr>
          <w:p w14:paraId="16772EBC" w14:textId="77777777" w:rsidR="001C59CB" w:rsidRPr="00392EA2"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2</w:t>
            </w:r>
          </w:p>
        </w:tc>
        <w:tc>
          <w:tcPr>
            <w:tcW w:w="989" w:type="dxa"/>
            <w:noWrap/>
            <w:hideMark/>
          </w:tcPr>
          <w:p w14:paraId="75489E9C" w14:textId="77777777" w:rsidR="001C59CB" w:rsidRPr="00392EA2"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r>
      <w:tr w:rsidR="001C59CB" w:rsidRPr="00B93C5D" w14:paraId="4CF36012" w14:textId="77777777" w:rsidTr="002746B1">
        <w:trPr>
          <w:trHeight w:val="285"/>
        </w:trPr>
        <w:tc>
          <w:tcPr>
            <w:cnfStyle w:val="001000000000" w:firstRow="0" w:lastRow="0" w:firstColumn="1" w:lastColumn="0" w:oddVBand="0" w:evenVBand="0" w:oddHBand="0" w:evenHBand="0" w:firstRowFirstColumn="0" w:firstRowLastColumn="0" w:lastRowFirstColumn="0" w:lastRowLastColumn="0"/>
            <w:tcW w:w="846" w:type="dxa"/>
          </w:tcPr>
          <w:p w14:paraId="7394226E" w14:textId="77777777" w:rsidR="001C59CB" w:rsidRPr="00A20657" w:rsidRDefault="001C59CB" w:rsidP="00C156A4">
            <w:pPr>
              <w:keepNext/>
              <w:keepLines/>
              <w:spacing w:before="120"/>
              <w:rPr>
                <w:b w:val="0"/>
                <w:color w:val="000000"/>
                <w:sz w:val="20"/>
              </w:rPr>
            </w:pPr>
            <w:r w:rsidRPr="00A20657">
              <w:rPr>
                <w:b w:val="0"/>
                <w:color w:val="000000"/>
                <w:sz w:val="20"/>
              </w:rPr>
              <w:t>14.1.4</w:t>
            </w:r>
          </w:p>
        </w:tc>
        <w:tc>
          <w:tcPr>
            <w:tcW w:w="4252" w:type="dxa"/>
            <w:noWrap/>
            <w:hideMark/>
          </w:tcPr>
          <w:p w14:paraId="14F9D079" w14:textId="77777777" w:rsidR="001C59CB" w:rsidRPr="00A20657" w:rsidRDefault="001C59CB" w:rsidP="00C156A4">
            <w:pPr>
              <w:keepNext/>
              <w:keepLines/>
              <w:spacing w:before="120"/>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Formulated beverages</w:t>
            </w:r>
          </w:p>
        </w:tc>
        <w:tc>
          <w:tcPr>
            <w:tcW w:w="988" w:type="dxa"/>
            <w:noWrap/>
            <w:hideMark/>
          </w:tcPr>
          <w:p w14:paraId="4EBF64D5"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9" w:type="dxa"/>
            <w:noWrap/>
            <w:hideMark/>
          </w:tcPr>
          <w:p w14:paraId="1F8C2608"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1000" w:type="dxa"/>
            <w:noWrap/>
            <w:hideMark/>
          </w:tcPr>
          <w:p w14:paraId="5E9BD4E6"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77" w:type="dxa"/>
            <w:noWrap/>
            <w:hideMark/>
          </w:tcPr>
          <w:p w14:paraId="1B436D26"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8" w:type="dxa"/>
            <w:noWrap/>
            <w:hideMark/>
          </w:tcPr>
          <w:p w14:paraId="04BF0C5F"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9" w:type="dxa"/>
            <w:noWrap/>
            <w:hideMark/>
          </w:tcPr>
          <w:p w14:paraId="304A4984"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8" w:type="dxa"/>
            <w:noWrap/>
            <w:hideMark/>
          </w:tcPr>
          <w:p w14:paraId="2CF31EDA" w14:textId="77777777" w:rsidR="001C59CB" w:rsidRPr="00392EA2"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9" w:type="dxa"/>
            <w:noWrap/>
            <w:hideMark/>
          </w:tcPr>
          <w:p w14:paraId="05F35921" w14:textId="77777777" w:rsidR="001C59CB" w:rsidRPr="00392EA2"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1</w:t>
            </w:r>
          </w:p>
        </w:tc>
        <w:tc>
          <w:tcPr>
            <w:tcW w:w="989" w:type="dxa"/>
            <w:noWrap/>
            <w:hideMark/>
          </w:tcPr>
          <w:p w14:paraId="63AF08D9" w14:textId="77777777" w:rsidR="001C59CB" w:rsidRPr="00392EA2"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r>
      <w:tr w:rsidR="001C59CB" w:rsidRPr="00B93C5D" w14:paraId="24571B2F" w14:textId="77777777" w:rsidTr="002746B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46" w:type="dxa"/>
          </w:tcPr>
          <w:p w14:paraId="2FB97A51" w14:textId="77777777" w:rsidR="001C59CB" w:rsidRPr="00A20657" w:rsidRDefault="001C59CB" w:rsidP="00C156A4">
            <w:pPr>
              <w:keepNext/>
              <w:keepLines/>
              <w:spacing w:before="120"/>
              <w:rPr>
                <w:b w:val="0"/>
                <w:color w:val="000000"/>
                <w:sz w:val="20"/>
              </w:rPr>
            </w:pPr>
            <w:r w:rsidRPr="00A20657">
              <w:rPr>
                <w:b w:val="0"/>
                <w:color w:val="000000"/>
                <w:sz w:val="20"/>
              </w:rPr>
              <w:t>14.1.5</w:t>
            </w:r>
          </w:p>
        </w:tc>
        <w:tc>
          <w:tcPr>
            <w:tcW w:w="4252" w:type="dxa"/>
            <w:noWrap/>
            <w:hideMark/>
          </w:tcPr>
          <w:p w14:paraId="79963EDA" w14:textId="77777777" w:rsidR="001C59CB" w:rsidRPr="00A20657" w:rsidRDefault="001C59CB" w:rsidP="00C156A4">
            <w:pPr>
              <w:keepNext/>
              <w:keepLines/>
              <w:spacing w:before="120"/>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Non-brewed soft drinks, iced tea, sold as ready to drink</w:t>
            </w:r>
          </w:p>
        </w:tc>
        <w:tc>
          <w:tcPr>
            <w:tcW w:w="988" w:type="dxa"/>
            <w:noWrap/>
            <w:hideMark/>
          </w:tcPr>
          <w:p w14:paraId="13F631B3"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9" w:type="dxa"/>
            <w:noWrap/>
            <w:hideMark/>
          </w:tcPr>
          <w:p w14:paraId="66DD6748"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1000" w:type="dxa"/>
            <w:noWrap/>
            <w:hideMark/>
          </w:tcPr>
          <w:p w14:paraId="56D02B64"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77" w:type="dxa"/>
            <w:noWrap/>
            <w:hideMark/>
          </w:tcPr>
          <w:p w14:paraId="0B1D8D4C"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8" w:type="dxa"/>
            <w:noWrap/>
            <w:hideMark/>
          </w:tcPr>
          <w:p w14:paraId="07C25AA7"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9" w:type="dxa"/>
            <w:noWrap/>
            <w:hideMark/>
          </w:tcPr>
          <w:p w14:paraId="461C7B6E"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8" w:type="dxa"/>
            <w:noWrap/>
            <w:hideMark/>
          </w:tcPr>
          <w:p w14:paraId="4DB7FEBB" w14:textId="77777777" w:rsidR="001C59CB" w:rsidRPr="00392EA2"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9" w:type="dxa"/>
            <w:noWrap/>
            <w:hideMark/>
          </w:tcPr>
          <w:p w14:paraId="26B4289F" w14:textId="77777777" w:rsidR="001C59CB" w:rsidRPr="00392EA2"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9" w:type="dxa"/>
            <w:noWrap/>
            <w:hideMark/>
          </w:tcPr>
          <w:p w14:paraId="688729AF" w14:textId="77777777" w:rsidR="001C59CB" w:rsidRPr="00392EA2"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r>
      <w:tr w:rsidR="001C59CB" w:rsidRPr="00B93C5D" w14:paraId="45D9FCE2" w14:textId="77777777" w:rsidTr="002746B1">
        <w:trPr>
          <w:trHeight w:val="285"/>
        </w:trPr>
        <w:tc>
          <w:tcPr>
            <w:cnfStyle w:val="001000000000" w:firstRow="0" w:lastRow="0" w:firstColumn="1" w:lastColumn="0" w:oddVBand="0" w:evenVBand="0" w:oddHBand="0" w:evenHBand="0" w:firstRowFirstColumn="0" w:firstRowLastColumn="0" w:lastRowFirstColumn="0" w:lastRowLastColumn="0"/>
            <w:tcW w:w="846" w:type="dxa"/>
          </w:tcPr>
          <w:p w14:paraId="3CBA902C" w14:textId="77777777" w:rsidR="001C59CB" w:rsidRPr="00A20657" w:rsidRDefault="001C59CB" w:rsidP="00C156A4">
            <w:pPr>
              <w:keepNext/>
              <w:keepLines/>
              <w:spacing w:before="120"/>
              <w:rPr>
                <w:b w:val="0"/>
                <w:color w:val="000000"/>
                <w:sz w:val="20"/>
              </w:rPr>
            </w:pPr>
            <w:r w:rsidRPr="00A20657">
              <w:rPr>
                <w:b w:val="0"/>
                <w:color w:val="000000"/>
                <w:sz w:val="20"/>
              </w:rPr>
              <w:t>14.1.5</w:t>
            </w:r>
          </w:p>
        </w:tc>
        <w:tc>
          <w:tcPr>
            <w:tcW w:w="4252" w:type="dxa"/>
            <w:noWrap/>
            <w:hideMark/>
          </w:tcPr>
          <w:p w14:paraId="5C39C75E" w14:textId="77777777" w:rsidR="001C59CB" w:rsidRPr="00A20657" w:rsidRDefault="001C59CB" w:rsidP="00C156A4">
            <w:pPr>
              <w:keepNext/>
              <w:keepLines/>
              <w:spacing w:before="120"/>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Pre-packaged ready to drink coffee beverages</w:t>
            </w:r>
          </w:p>
        </w:tc>
        <w:tc>
          <w:tcPr>
            <w:tcW w:w="988" w:type="dxa"/>
            <w:noWrap/>
            <w:hideMark/>
          </w:tcPr>
          <w:p w14:paraId="2FA243C1"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9" w:type="dxa"/>
            <w:noWrap/>
            <w:hideMark/>
          </w:tcPr>
          <w:p w14:paraId="7F0E1E73"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1</w:t>
            </w:r>
          </w:p>
        </w:tc>
        <w:tc>
          <w:tcPr>
            <w:tcW w:w="1000" w:type="dxa"/>
            <w:noWrap/>
            <w:hideMark/>
          </w:tcPr>
          <w:p w14:paraId="5BB30BB9"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77" w:type="dxa"/>
            <w:noWrap/>
            <w:hideMark/>
          </w:tcPr>
          <w:p w14:paraId="7ED5B269"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8" w:type="dxa"/>
            <w:noWrap/>
            <w:hideMark/>
          </w:tcPr>
          <w:p w14:paraId="672A7029"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9" w:type="dxa"/>
            <w:noWrap/>
            <w:hideMark/>
          </w:tcPr>
          <w:p w14:paraId="621DC536" w14:textId="77777777" w:rsidR="001C59CB" w:rsidRPr="00E77F9F"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8" w:type="dxa"/>
            <w:noWrap/>
            <w:hideMark/>
          </w:tcPr>
          <w:p w14:paraId="2B238D2C" w14:textId="77777777" w:rsidR="001C59CB" w:rsidRPr="00392EA2"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0</w:t>
            </w:r>
          </w:p>
        </w:tc>
        <w:tc>
          <w:tcPr>
            <w:tcW w:w="989" w:type="dxa"/>
            <w:noWrap/>
            <w:hideMark/>
          </w:tcPr>
          <w:p w14:paraId="0DEBA1AF" w14:textId="77777777" w:rsidR="001C59CB" w:rsidRPr="00392EA2"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0</w:t>
            </w:r>
          </w:p>
        </w:tc>
        <w:tc>
          <w:tcPr>
            <w:tcW w:w="989" w:type="dxa"/>
            <w:noWrap/>
            <w:hideMark/>
          </w:tcPr>
          <w:p w14:paraId="23A6821B" w14:textId="77777777" w:rsidR="001C59CB" w:rsidRPr="00392EA2" w:rsidRDefault="001C59CB" w:rsidP="00C156A4">
            <w:pPr>
              <w:keepNext/>
              <w:keepLines/>
              <w:tabs>
                <w:tab w:val="decimal" w:pos="325"/>
              </w:tabs>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GB" w:eastAsia="en-GB"/>
              </w:rPr>
            </w:pPr>
            <w:r w:rsidRPr="00A20657">
              <w:rPr>
                <w:color w:val="000000"/>
                <w:sz w:val="20"/>
              </w:rPr>
              <w:t>0</w:t>
            </w:r>
          </w:p>
        </w:tc>
      </w:tr>
      <w:tr w:rsidR="001C59CB" w:rsidRPr="00B93C5D" w14:paraId="27BC87D7" w14:textId="77777777" w:rsidTr="002746B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46" w:type="dxa"/>
          </w:tcPr>
          <w:p w14:paraId="56C730FC" w14:textId="77777777" w:rsidR="001C59CB" w:rsidRPr="00A20657" w:rsidRDefault="001C59CB" w:rsidP="00C156A4">
            <w:pPr>
              <w:keepNext/>
              <w:keepLines/>
              <w:spacing w:before="120"/>
              <w:rPr>
                <w:b w:val="0"/>
                <w:color w:val="000000"/>
                <w:sz w:val="20"/>
              </w:rPr>
            </w:pPr>
            <w:r w:rsidRPr="00A20657">
              <w:rPr>
                <w:b w:val="0"/>
                <w:color w:val="000000"/>
                <w:sz w:val="20"/>
              </w:rPr>
              <w:t>14.2.1</w:t>
            </w:r>
          </w:p>
        </w:tc>
        <w:tc>
          <w:tcPr>
            <w:tcW w:w="4252" w:type="dxa"/>
            <w:noWrap/>
            <w:hideMark/>
          </w:tcPr>
          <w:p w14:paraId="32AF06F1" w14:textId="77777777" w:rsidR="001C59CB" w:rsidRPr="00A20657" w:rsidRDefault="001C59CB" w:rsidP="00C156A4">
            <w:pPr>
              <w:keepNext/>
              <w:keepLines/>
              <w:spacing w:before="120"/>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Low alcohol beers</w:t>
            </w:r>
          </w:p>
        </w:tc>
        <w:tc>
          <w:tcPr>
            <w:tcW w:w="988" w:type="dxa"/>
            <w:noWrap/>
            <w:hideMark/>
          </w:tcPr>
          <w:p w14:paraId="7FAA2BC1"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0</w:t>
            </w:r>
          </w:p>
        </w:tc>
        <w:tc>
          <w:tcPr>
            <w:tcW w:w="989" w:type="dxa"/>
            <w:noWrap/>
            <w:hideMark/>
          </w:tcPr>
          <w:p w14:paraId="3E5D9402"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0</w:t>
            </w:r>
          </w:p>
        </w:tc>
        <w:tc>
          <w:tcPr>
            <w:tcW w:w="1000" w:type="dxa"/>
            <w:noWrap/>
            <w:hideMark/>
          </w:tcPr>
          <w:p w14:paraId="2703E52C" w14:textId="77777777" w:rsidR="001C59CB" w:rsidRPr="00E77F9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0</w:t>
            </w:r>
          </w:p>
        </w:tc>
        <w:tc>
          <w:tcPr>
            <w:tcW w:w="977" w:type="dxa"/>
            <w:noWrap/>
            <w:hideMark/>
          </w:tcPr>
          <w:p w14:paraId="5B7B97A8" w14:textId="77777777" w:rsidR="001C59CB" w:rsidRPr="00392EA2"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8" w:type="dxa"/>
            <w:noWrap/>
            <w:hideMark/>
          </w:tcPr>
          <w:p w14:paraId="2F75FD98" w14:textId="77777777" w:rsidR="001C59CB" w:rsidRPr="00392EA2"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9" w:type="dxa"/>
            <w:noWrap/>
            <w:hideMark/>
          </w:tcPr>
          <w:p w14:paraId="5C8E89D5" w14:textId="77777777" w:rsidR="001C59CB" w:rsidRPr="00392EA2"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&lt;1</w:t>
            </w:r>
          </w:p>
        </w:tc>
        <w:tc>
          <w:tcPr>
            <w:tcW w:w="988" w:type="dxa"/>
            <w:noWrap/>
            <w:hideMark/>
          </w:tcPr>
          <w:p w14:paraId="634A9382" w14:textId="77777777" w:rsidR="001C59CB" w:rsidRPr="0097731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0</w:t>
            </w:r>
          </w:p>
        </w:tc>
        <w:tc>
          <w:tcPr>
            <w:tcW w:w="989" w:type="dxa"/>
            <w:noWrap/>
            <w:hideMark/>
          </w:tcPr>
          <w:p w14:paraId="3F09C7FB" w14:textId="77777777" w:rsidR="001C59CB" w:rsidRPr="0097731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0</w:t>
            </w:r>
          </w:p>
        </w:tc>
        <w:tc>
          <w:tcPr>
            <w:tcW w:w="989" w:type="dxa"/>
            <w:noWrap/>
            <w:hideMark/>
          </w:tcPr>
          <w:p w14:paraId="7549B548" w14:textId="77777777" w:rsidR="001C59CB" w:rsidRPr="0097731F" w:rsidRDefault="001C59CB" w:rsidP="00C156A4">
            <w:pPr>
              <w:keepNext/>
              <w:keepLines/>
              <w:tabs>
                <w:tab w:val="decimal" w:pos="325"/>
              </w:tabs>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GB" w:eastAsia="en-GB"/>
              </w:rPr>
            </w:pPr>
            <w:r w:rsidRPr="00A20657">
              <w:rPr>
                <w:color w:val="000000"/>
                <w:sz w:val="20"/>
              </w:rPr>
              <w:t>0</w:t>
            </w:r>
          </w:p>
        </w:tc>
      </w:tr>
    </w:tbl>
    <w:p w14:paraId="06B4002D" w14:textId="08DDEF30" w:rsidR="001C59CB" w:rsidRDefault="001C59CB" w:rsidP="001C59CB">
      <w:pPr>
        <w:pStyle w:val="FootnoteText"/>
        <w:tabs>
          <w:tab w:val="left" w:pos="680"/>
        </w:tabs>
        <w:rPr>
          <w:lang w:eastAsia="en-AU"/>
        </w:rPr>
      </w:pPr>
      <w:r w:rsidRPr="00B55752">
        <w:rPr>
          <w:b/>
          <w:lang w:eastAsia="en-AU"/>
        </w:rPr>
        <w:t>Note:</w:t>
      </w:r>
      <w:r>
        <w:rPr>
          <w:b/>
          <w:lang w:eastAsia="en-AU"/>
        </w:rPr>
        <w:tab/>
      </w:r>
      <w:r>
        <w:rPr>
          <w:lang w:eastAsia="en-AU"/>
        </w:rPr>
        <w:t>M</w:t>
      </w:r>
      <w:r w:rsidRPr="00A20657">
        <w:rPr>
          <w:lang w:eastAsia="en-AU"/>
        </w:rPr>
        <w:t>ajor contributing food</w:t>
      </w:r>
      <w:r>
        <w:rPr>
          <w:lang w:eastAsia="en-AU"/>
        </w:rPr>
        <w:t xml:space="preserve"> groups are highlighted in bold</w:t>
      </w:r>
      <w:r w:rsidR="000C0333">
        <w:rPr>
          <w:lang w:eastAsia="en-AU"/>
        </w:rPr>
        <w:t>.</w:t>
      </w:r>
    </w:p>
    <w:p w14:paraId="4277733F" w14:textId="6DF0AE52" w:rsidR="001C59CB" w:rsidRDefault="001C59CB" w:rsidP="001C59CB">
      <w:pPr>
        <w:pStyle w:val="FootnoteText"/>
        <w:tabs>
          <w:tab w:val="left" w:pos="680"/>
        </w:tabs>
        <w:ind w:left="680"/>
        <w:rPr>
          <w:lang w:eastAsia="en-AU"/>
        </w:rPr>
      </w:pPr>
      <w:r w:rsidRPr="00767ED9">
        <w:rPr>
          <w:lang w:eastAsia="en-AU"/>
        </w:rPr>
        <w:sym w:font="Wingdings" w:char="F076"/>
      </w:r>
      <w:r w:rsidRPr="00767ED9">
        <w:rPr>
          <w:lang w:eastAsia="en-AU"/>
        </w:rPr>
        <w:t xml:space="preserve">  Based on food consumption data from Day 1 and 2</w:t>
      </w:r>
      <w:r w:rsidR="000C0333">
        <w:rPr>
          <w:lang w:eastAsia="en-AU"/>
        </w:rPr>
        <w:t>.</w:t>
      </w:r>
    </w:p>
    <w:p w14:paraId="7B8D1ADD" w14:textId="77777777" w:rsidR="001C59CB" w:rsidRPr="00767ED9" w:rsidRDefault="001C59CB" w:rsidP="001C59CB">
      <w:pPr>
        <w:pStyle w:val="FootnoteText"/>
        <w:tabs>
          <w:tab w:val="left" w:pos="680"/>
        </w:tabs>
        <w:ind w:left="680"/>
        <w:rPr>
          <w:lang w:eastAsia="en-AU"/>
        </w:rPr>
      </w:pPr>
      <w:r w:rsidRPr="00767ED9">
        <w:rPr>
          <w:lang w:eastAsia="en-AU"/>
        </w:rPr>
        <w:sym w:font="Wingdings 3" w:char="F073"/>
      </w:r>
      <w:r w:rsidRPr="00767ED9">
        <w:rPr>
          <w:lang w:eastAsia="en-AU"/>
        </w:rPr>
        <w:t xml:space="preserve">  Based on food consumption data from Day 1 only.</w:t>
      </w:r>
    </w:p>
    <w:p w14:paraId="6F4C8E76" w14:textId="77777777" w:rsidR="001C59CB" w:rsidRPr="009F2C51" w:rsidRDefault="001C59CB" w:rsidP="001C59CB">
      <w:pPr>
        <w:sectPr w:rsidR="001C59CB" w:rsidRPr="009F2C51" w:rsidSect="00C156A4">
          <w:pgSz w:w="16838" w:h="11906" w:orient="landscape" w:code="9"/>
          <w:pgMar w:top="1418" w:right="1418" w:bottom="1418" w:left="1418" w:header="510" w:footer="346" w:gutter="0"/>
          <w:cols w:space="708"/>
          <w:docGrid w:linePitch="360"/>
        </w:sectPr>
      </w:pPr>
    </w:p>
    <w:p w14:paraId="67024092" w14:textId="1EBF9E82" w:rsidR="001C59CB" w:rsidRPr="00DF6C00" w:rsidRDefault="00C931D4" w:rsidP="000D20BD">
      <w:pPr>
        <w:pStyle w:val="Heading2"/>
      </w:pPr>
      <w:bookmarkStart w:id="168" w:name="_Toc43217072"/>
      <w:bookmarkStart w:id="169" w:name="_Toc44401557"/>
      <w:bookmarkStart w:id="170" w:name="_Toc45284309"/>
      <w:bookmarkStart w:id="171" w:name="_Toc46929430"/>
      <w:r>
        <w:t>5.6</w:t>
      </w:r>
      <w:r w:rsidR="002746B1">
        <w:t xml:space="preserve"> </w:t>
      </w:r>
      <w:r w:rsidR="001C59CB" w:rsidRPr="00DF6C00">
        <w:t xml:space="preserve">Major contributing foods to </w:t>
      </w:r>
      <w:r w:rsidR="004C28B5">
        <w:t>j</w:t>
      </w:r>
      <w:r w:rsidR="005F7B7D">
        <w:t>elly mushroom glycolipids</w:t>
      </w:r>
      <w:r w:rsidR="001C59CB" w:rsidRPr="00DF6C00">
        <w:t xml:space="preserve"> dietary exposure</w:t>
      </w:r>
      <w:bookmarkEnd w:id="168"/>
      <w:bookmarkEnd w:id="169"/>
      <w:bookmarkEnd w:id="170"/>
      <w:bookmarkEnd w:id="171"/>
    </w:p>
    <w:p w14:paraId="5C741D0B" w14:textId="2F5BF23F" w:rsidR="001C59CB" w:rsidRDefault="001C59CB" w:rsidP="001C59CB">
      <w:r>
        <w:t>Major contributors to dietary exposures are defined as those that contribute ≥5% of the estimated dietary exposure.</w:t>
      </w:r>
    </w:p>
    <w:p w14:paraId="75692C2E" w14:textId="77777777" w:rsidR="002746B1" w:rsidRDefault="002746B1" w:rsidP="001C59CB"/>
    <w:p w14:paraId="6D8B206F" w14:textId="0507BAF2" w:rsidR="001C59CB" w:rsidRDefault="001C59CB" w:rsidP="001C59CB">
      <w:r>
        <w:t xml:space="preserve">The major contributing foods to </w:t>
      </w:r>
      <w:r w:rsidR="004C28B5">
        <w:t>j</w:t>
      </w:r>
      <w:r w:rsidR="005F7B7D">
        <w:t>elly mushroom glycolipids</w:t>
      </w:r>
      <w:r>
        <w:t xml:space="preserve"> dietary exposures are consistent across all population groups </w:t>
      </w:r>
      <w:r w:rsidR="000C0333">
        <w:t xml:space="preserve">assessed </w:t>
      </w:r>
      <w:r>
        <w:t>and all scenarios:</w:t>
      </w:r>
    </w:p>
    <w:p w14:paraId="0D6842AE" w14:textId="77777777" w:rsidR="001C59CB" w:rsidRPr="000C0333" w:rsidRDefault="001C59CB" w:rsidP="001C59CB">
      <w:pPr>
        <w:pStyle w:val="FSBulletlist"/>
        <w:rPr>
          <w:color w:val="auto"/>
        </w:rPr>
      </w:pPr>
      <w:r w:rsidRPr="000C0333">
        <w:rPr>
          <w:color w:val="auto"/>
        </w:rPr>
        <w:t>Water based flavoured drinks, excluding powders, iced teas, brewed soft drinks</w:t>
      </w:r>
    </w:p>
    <w:p w14:paraId="73D2C687" w14:textId="77777777" w:rsidR="001C59CB" w:rsidRPr="000C0333" w:rsidRDefault="001C59CB" w:rsidP="001C59CB">
      <w:pPr>
        <w:pStyle w:val="FSBulletlist"/>
        <w:rPr>
          <w:color w:val="auto"/>
        </w:rPr>
      </w:pPr>
      <w:r w:rsidRPr="000C0333">
        <w:rPr>
          <w:color w:val="auto"/>
        </w:rPr>
        <w:t>Fruit and vegetable juices</w:t>
      </w:r>
    </w:p>
    <w:p w14:paraId="78172785" w14:textId="77777777" w:rsidR="001C59CB" w:rsidRPr="000C0333" w:rsidRDefault="001C59CB" w:rsidP="001C59CB">
      <w:pPr>
        <w:pStyle w:val="FSBulletlist"/>
        <w:rPr>
          <w:color w:val="auto"/>
        </w:rPr>
      </w:pPr>
      <w:r w:rsidRPr="000C0333">
        <w:rPr>
          <w:color w:val="auto"/>
        </w:rPr>
        <w:t>Flavoured mineral water and plant-based milk alternatives</w:t>
      </w:r>
    </w:p>
    <w:p w14:paraId="2B540A89" w14:textId="54DE5235" w:rsidR="001C59CB" w:rsidRPr="000C0333" w:rsidRDefault="001C59CB" w:rsidP="001C59CB">
      <w:pPr>
        <w:pStyle w:val="FSBulletlist"/>
        <w:rPr>
          <w:color w:val="auto"/>
        </w:rPr>
      </w:pPr>
      <w:r w:rsidRPr="000C0333">
        <w:rPr>
          <w:color w:val="auto"/>
        </w:rPr>
        <w:t>Fruit and vegetable juice products</w:t>
      </w:r>
      <w:r w:rsidR="000C0333">
        <w:rPr>
          <w:color w:val="auto"/>
        </w:rPr>
        <w:t>.</w:t>
      </w:r>
    </w:p>
    <w:p w14:paraId="5224EEED" w14:textId="0346AC8A" w:rsidR="001C59CB" w:rsidRDefault="001C59CB" w:rsidP="001C59CB">
      <w:r>
        <w:t xml:space="preserve">For the </w:t>
      </w:r>
      <w:r>
        <w:rPr>
          <w:i/>
        </w:rPr>
        <w:t xml:space="preserve">General MPL </w:t>
      </w:r>
      <w:r>
        <w:t>scenario, Water based flavoured drinks, excluding powders, iced teas and brewed soft drinks is the major contributing food group for all Australian and New Zealand population groups</w:t>
      </w:r>
      <w:r w:rsidR="000C0333">
        <w:t xml:space="preserve"> assessed</w:t>
      </w:r>
      <w:r>
        <w:t xml:space="preserve"> (39 – 45%), followed by Fruit and vegetable juices (23 – 28%). Fruit and vegetable juice products (9 – 18%) and Flavoured mineral waters and plant-based milk alternatives are also major contributors for all population groups </w:t>
      </w:r>
      <w:r w:rsidR="00360EB2">
        <w:t xml:space="preserve">assessed </w:t>
      </w:r>
      <w:r>
        <w:t>(9 – 23%).</w:t>
      </w:r>
    </w:p>
    <w:p w14:paraId="53ABC975" w14:textId="77777777" w:rsidR="002746B1" w:rsidRPr="003E0DFA" w:rsidRDefault="002746B1" w:rsidP="001C59CB"/>
    <w:p w14:paraId="6DEEED09" w14:textId="7A7EA868" w:rsidR="001C59CB" w:rsidRDefault="001C59CB" w:rsidP="001C59CB">
      <w:r>
        <w:t xml:space="preserve">For the </w:t>
      </w:r>
      <w:r>
        <w:rPr>
          <w:i/>
        </w:rPr>
        <w:t>Specific MPL</w:t>
      </w:r>
      <w:r>
        <w:t xml:space="preserve"> and </w:t>
      </w:r>
      <w:r>
        <w:rPr>
          <w:i/>
        </w:rPr>
        <w:t>Usual Use</w:t>
      </w:r>
      <w:r>
        <w:t xml:space="preserve"> scenarios, the major contributing food group is Fruit and vegetable juices for all population groups</w:t>
      </w:r>
      <w:r w:rsidR="00360EB2">
        <w:t xml:space="preserve"> assessed</w:t>
      </w:r>
      <w:r>
        <w:t xml:space="preserve"> (33 – 41% and 35 – 46%, respectively)</w:t>
      </w:r>
      <w:r w:rsidR="00360EB2">
        <w:t xml:space="preserve">. </w:t>
      </w:r>
      <w:r>
        <w:t xml:space="preserve">Water based flavoured drinks, excluding powders, iced teas and brewed soft drinks, Flavoured mineral waters and plant-based milk alternatives and </w:t>
      </w:r>
      <w:r w:rsidRPr="00D03652">
        <w:t xml:space="preserve">Fruit </w:t>
      </w:r>
      <w:r>
        <w:t xml:space="preserve">and </w:t>
      </w:r>
      <w:r w:rsidRPr="00D03652">
        <w:t>veg</w:t>
      </w:r>
      <w:r>
        <w:t>etable</w:t>
      </w:r>
      <w:r w:rsidRPr="00D03652">
        <w:t xml:space="preserve"> juice products</w:t>
      </w:r>
      <w:r>
        <w:t xml:space="preserve"> </w:t>
      </w:r>
      <w:r w:rsidR="00360EB2">
        <w:t>were also</w:t>
      </w:r>
      <w:r>
        <w:t xml:space="preserve"> major contributors.</w:t>
      </w:r>
    </w:p>
    <w:p w14:paraId="7283380C" w14:textId="77777777" w:rsidR="002746B1" w:rsidRDefault="002746B1" w:rsidP="001C59CB"/>
    <w:p w14:paraId="0208648A" w14:textId="2ED07C11" w:rsidR="001C59CB" w:rsidRDefault="001C59CB" w:rsidP="001C59CB">
      <w:r>
        <w:t>Further</w:t>
      </w:r>
      <w:r w:rsidR="00406EB2">
        <w:t xml:space="preserve"> details can be found in </w:t>
      </w:r>
      <w:r w:rsidR="00406EB2" w:rsidRPr="00456F82">
        <w:rPr>
          <w:b/>
        </w:rPr>
        <w:t xml:space="preserve">Table </w:t>
      </w:r>
      <w:r w:rsidR="00456F82" w:rsidRPr="00456F82">
        <w:rPr>
          <w:b/>
        </w:rPr>
        <w:t>7</w:t>
      </w:r>
      <w:r w:rsidR="00456F82">
        <w:t xml:space="preserve"> and </w:t>
      </w:r>
      <w:r w:rsidR="00456F82" w:rsidRPr="00456F82">
        <w:rPr>
          <w:b/>
        </w:rPr>
        <w:t>Figure 8</w:t>
      </w:r>
      <w:r>
        <w:t>.</w:t>
      </w:r>
    </w:p>
    <w:p w14:paraId="1705B5C3" w14:textId="77777777" w:rsidR="001C59CB" w:rsidRDefault="001C59CB" w:rsidP="001C59CB">
      <w:pPr>
        <w:sectPr w:rsidR="001C59CB" w:rsidSect="00C156A4">
          <w:pgSz w:w="11906" w:h="16838" w:code="9"/>
          <w:pgMar w:top="1418" w:right="1418" w:bottom="1418" w:left="1418" w:header="510" w:footer="346" w:gutter="0"/>
          <w:cols w:space="708"/>
          <w:docGrid w:linePitch="360"/>
        </w:sectPr>
      </w:pPr>
    </w:p>
    <w:p w14:paraId="511AB316" w14:textId="77777777" w:rsidR="001C59CB" w:rsidRDefault="001C59CB" w:rsidP="001C59CB">
      <w:r>
        <w:rPr>
          <w:noProof/>
          <w:lang w:eastAsia="en-GB" w:bidi="ar-SA"/>
        </w:rPr>
        <w:drawing>
          <wp:inline distT="0" distB="0" distL="0" distR="0" wp14:anchorId="7F6ED8A8" wp14:editId="2DA704BF">
            <wp:extent cx="8392886" cy="5243696"/>
            <wp:effectExtent l="0" t="0" r="8255" b="0"/>
            <wp:docPr id="4" name="Picture 4" descr="Major contributing food groups to Jelly mushroom glycolipids dietary exposures for Australian and New Zealand population groups. For all scenarios, the major contributing food groups were Water based flavoured drinks, excluding powders, iced teas, brewed soft drinks; Fruit and vegetable juices; Flavoured mineral water and plant-based milk alternatives; and Fruit and vegetable juice produc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400156" cy="5248238"/>
                    </a:xfrm>
                    <a:prstGeom prst="rect">
                      <a:avLst/>
                    </a:prstGeom>
                    <a:noFill/>
                  </pic:spPr>
                </pic:pic>
              </a:graphicData>
            </a:graphic>
          </wp:inline>
        </w:drawing>
      </w:r>
    </w:p>
    <w:p w14:paraId="60B14C96" w14:textId="17016E3E" w:rsidR="00C931D4" w:rsidRDefault="00406EB2" w:rsidP="00C931D4">
      <w:pPr>
        <w:pStyle w:val="FSFigureTitle"/>
      </w:pPr>
      <w:r w:rsidRPr="00406EB2">
        <w:rPr>
          <w:b/>
        </w:rPr>
        <w:t xml:space="preserve">Figure </w:t>
      </w:r>
      <w:r w:rsidRPr="00406EB2">
        <w:rPr>
          <w:b/>
        </w:rPr>
        <w:fldChar w:fldCharType="begin"/>
      </w:r>
      <w:r w:rsidRPr="00406EB2">
        <w:rPr>
          <w:b/>
        </w:rPr>
        <w:instrText xml:space="preserve"> SEQ Figure \* ARABIC </w:instrText>
      </w:r>
      <w:r w:rsidRPr="00406EB2">
        <w:rPr>
          <w:b/>
        </w:rPr>
        <w:fldChar w:fldCharType="separate"/>
      </w:r>
      <w:r w:rsidR="00E202C8">
        <w:rPr>
          <w:b/>
          <w:noProof/>
        </w:rPr>
        <w:t>8</w:t>
      </w:r>
      <w:r w:rsidRPr="00406EB2">
        <w:rPr>
          <w:b/>
        </w:rPr>
        <w:fldChar w:fldCharType="end"/>
      </w:r>
      <w:r w:rsidRPr="00837AED">
        <w:rPr>
          <w:i w:val="0"/>
        </w:rPr>
        <w:tab/>
      </w:r>
      <w:r w:rsidR="001C59CB" w:rsidRPr="00CD4EF1">
        <w:t xml:space="preserve">Food categories and their contribution to estimated dietary exposures to </w:t>
      </w:r>
      <w:r w:rsidR="004C28B5">
        <w:t>j</w:t>
      </w:r>
      <w:r w:rsidR="005F7B7D">
        <w:t>elly mushroom glycolipids</w:t>
      </w:r>
      <w:r w:rsidR="001C59CB">
        <w:t xml:space="preserve"> for Australian and New Zea</w:t>
      </w:r>
      <w:r w:rsidR="00C931D4">
        <w:t xml:space="preserve">land population groups </w:t>
      </w:r>
    </w:p>
    <w:p w14:paraId="48CAC059" w14:textId="0CD3FA73" w:rsidR="001C59CB" w:rsidRDefault="001C59CB" w:rsidP="00C931D4">
      <w:pPr>
        <w:pStyle w:val="FSFigureTitle"/>
        <w:sectPr w:rsidR="001C59CB" w:rsidSect="00C156A4">
          <w:pgSz w:w="16838" w:h="11906" w:orient="landscape" w:code="9"/>
          <w:pgMar w:top="1418" w:right="1418" w:bottom="1418" w:left="1418" w:header="510" w:footer="346" w:gutter="0"/>
          <w:cols w:space="708"/>
          <w:docGrid w:linePitch="360"/>
        </w:sectPr>
      </w:pPr>
    </w:p>
    <w:p w14:paraId="2542023B" w14:textId="27F37D2D" w:rsidR="001C59CB" w:rsidRPr="002D528B" w:rsidRDefault="00C931D4" w:rsidP="000D20BD">
      <w:pPr>
        <w:pStyle w:val="Heading2"/>
      </w:pPr>
      <w:bookmarkStart w:id="172" w:name="_Toc43217073"/>
      <w:bookmarkStart w:id="173" w:name="_Toc44401558"/>
      <w:bookmarkStart w:id="174" w:name="_Toc45284310"/>
      <w:bookmarkStart w:id="175" w:name="_Toc46929431"/>
      <w:r>
        <w:t>5.7</w:t>
      </w:r>
      <w:r w:rsidR="003116A1">
        <w:t xml:space="preserve"> </w:t>
      </w:r>
      <w:r w:rsidR="001C59CB">
        <w:t>Risk Characterisation</w:t>
      </w:r>
      <w:bookmarkEnd w:id="172"/>
      <w:bookmarkEnd w:id="173"/>
      <w:bookmarkEnd w:id="174"/>
      <w:bookmarkEnd w:id="175"/>
    </w:p>
    <w:p w14:paraId="1A79EE39" w14:textId="4D94D991" w:rsidR="001C59CB" w:rsidRDefault="001C59CB" w:rsidP="001C59CB">
      <w:pPr>
        <w:rPr>
          <w:lang w:eastAsia="en-AU"/>
        </w:rPr>
      </w:pPr>
      <w:r>
        <w:t xml:space="preserve">FSANZ has </w:t>
      </w:r>
      <w:r w:rsidR="0083249C">
        <w:t xml:space="preserve">established </w:t>
      </w:r>
      <w:r>
        <w:t xml:space="preserve">an ADI for </w:t>
      </w:r>
      <w:r w:rsidR="004C28B5">
        <w:t>j</w:t>
      </w:r>
      <w:r w:rsidR="005F7B7D">
        <w:t>elly mushroom glycolipids</w:t>
      </w:r>
      <w:r>
        <w:t xml:space="preserve"> of </w:t>
      </w:r>
      <w:r w:rsidR="00437A67">
        <w:t>2.0</w:t>
      </w:r>
      <w:r>
        <w:t xml:space="preserve"> mg/kg bw/day. </w:t>
      </w:r>
      <w:r>
        <w:rPr>
          <w:lang w:eastAsia="en-AU"/>
        </w:rPr>
        <w:t>All mean and P90 estimated dietary exposures for all scenarios are below the ADI</w:t>
      </w:r>
      <w:r w:rsidR="00360EB2">
        <w:rPr>
          <w:lang w:eastAsia="en-AU"/>
        </w:rPr>
        <w:t xml:space="preserve"> for all population groups assessed</w:t>
      </w:r>
      <w:r>
        <w:rPr>
          <w:lang w:eastAsia="en-AU"/>
        </w:rPr>
        <w:t>.</w:t>
      </w:r>
    </w:p>
    <w:p w14:paraId="400F487C" w14:textId="77777777" w:rsidR="002746B1" w:rsidRDefault="002746B1" w:rsidP="001C59CB">
      <w:pPr>
        <w:rPr>
          <w:lang w:eastAsia="en-AU"/>
        </w:rPr>
      </w:pPr>
    </w:p>
    <w:p w14:paraId="52B4CB2F" w14:textId="59B13899" w:rsidR="001C59CB" w:rsidRDefault="001C59CB" w:rsidP="001C59CB">
      <w:pPr>
        <w:rPr>
          <w:lang w:eastAsia="en-AU"/>
        </w:rPr>
      </w:pPr>
      <w:r>
        <w:rPr>
          <w:lang w:eastAsia="en-AU"/>
        </w:rPr>
        <w:t xml:space="preserve">The mean and P90 dietary exposures to </w:t>
      </w:r>
      <w:r w:rsidR="004C28B5">
        <w:t>j</w:t>
      </w:r>
      <w:r w:rsidR="005F7B7D">
        <w:t>elly mushroom glycolipids</w:t>
      </w:r>
      <w:r>
        <w:rPr>
          <w:lang w:eastAsia="en-AU"/>
        </w:rPr>
        <w:t xml:space="preserve"> for Australians aged 2 years and above are 10 –</w:t>
      </w:r>
      <w:r w:rsidR="00676E6C">
        <w:rPr>
          <w:lang w:eastAsia="en-AU"/>
        </w:rPr>
        <w:t xml:space="preserve"> </w:t>
      </w:r>
      <w:r w:rsidR="00E42606">
        <w:rPr>
          <w:lang w:eastAsia="en-AU"/>
        </w:rPr>
        <w:t>25</w:t>
      </w:r>
      <w:r>
        <w:rPr>
          <w:lang w:eastAsia="en-AU"/>
        </w:rPr>
        <w:t xml:space="preserve">% of the ADI and </w:t>
      </w:r>
      <w:r w:rsidR="00E42606">
        <w:rPr>
          <w:lang w:eastAsia="en-AU"/>
        </w:rPr>
        <w:t>25</w:t>
      </w:r>
      <w:r>
        <w:rPr>
          <w:lang w:eastAsia="en-AU"/>
        </w:rPr>
        <w:t xml:space="preserve"> – </w:t>
      </w:r>
      <w:r w:rsidR="00E42606">
        <w:rPr>
          <w:lang w:eastAsia="en-AU"/>
        </w:rPr>
        <w:t>50</w:t>
      </w:r>
      <w:r>
        <w:rPr>
          <w:lang w:eastAsia="en-AU"/>
        </w:rPr>
        <w:t>% of the ADI respectively, depending on the scenario.</w:t>
      </w:r>
    </w:p>
    <w:p w14:paraId="055E77B6" w14:textId="77777777" w:rsidR="002746B1" w:rsidRDefault="002746B1" w:rsidP="001C59CB">
      <w:pPr>
        <w:rPr>
          <w:lang w:eastAsia="en-AU"/>
        </w:rPr>
      </w:pPr>
    </w:p>
    <w:p w14:paraId="7CE3B90A" w14:textId="0D42A6E6" w:rsidR="001C59CB" w:rsidRDefault="001C59CB" w:rsidP="001C59CB">
      <w:pPr>
        <w:rPr>
          <w:lang w:eastAsia="en-AU"/>
        </w:rPr>
      </w:pPr>
      <w:r>
        <w:rPr>
          <w:lang w:eastAsia="en-AU"/>
        </w:rPr>
        <w:t xml:space="preserve">The mean and P90 dietary exposures </w:t>
      </w:r>
      <w:r w:rsidR="00360EB2">
        <w:rPr>
          <w:lang w:eastAsia="en-AU"/>
        </w:rPr>
        <w:t>were between</w:t>
      </w:r>
      <w:r>
        <w:rPr>
          <w:lang w:eastAsia="en-AU"/>
        </w:rPr>
        <w:t xml:space="preserve"> </w:t>
      </w:r>
      <w:r w:rsidR="00E42606">
        <w:rPr>
          <w:lang w:eastAsia="en-AU"/>
        </w:rPr>
        <w:t>15</w:t>
      </w:r>
      <w:r>
        <w:rPr>
          <w:lang w:eastAsia="en-AU"/>
        </w:rPr>
        <w:t xml:space="preserve"> – </w:t>
      </w:r>
      <w:r w:rsidR="00E42606">
        <w:rPr>
          <w:lang w:eastAsia="en-AU"/>
        </w:rPr>
        <w:t>35</w:t>
      </w:r>
      <w:r>
        <w:rPr>
          <w:lang w:eastAsia="en-AU"/>
        </w:rPr>
        <w:t xml:space="preserve">% and </w:t>
      </w:r>
      <w:r w:rsidR="00E42606">
        <w:rPr>
          <w:lang w:eastAsia="en-AU"/>
        </w:rPr>
        <w:t>45</w:t>
      </w:r>
      <w:r>
        <w:rPr>
          <w:lang w:eastAsia="en-AU"/>
        </w:rPr>
        <w:t xml:space="preserve"> – </w:t>
      </w:r>
      <w:r w:rsidR="00E42606">
        <w:rPr>
          <w:lang w:eastAsia="en-AU"/>
        </w:rPr>
        <w:t>75</w:t>
      </w:r>
      <w:r>
        <w:rPr>
          <w:lang w:eastAsia="en-AU"/>
        </w:rPr>
        <w:t>% of the ADI</w:t>
      </w:r>
      <w:r w:rsidRPr="00B73A2E">
        <w:rPr>
          <w:lang w:eastAsia="en-AU"/>
        </w:rPr>
        <w:t xml:space="preserve"> </w:t>
      </w:r>
      <w:r>
        <w:rPr>
          <w:lang w:eastAsia="en-AU"/>
        </w:rPr>
        <w:t>respectively for New Zealanders aged 5-14</w:t>
      </w:r>
      <w:r w:rsidR="0018726B">
        <w:rPr>
          <w:lang w:eastAsia="en-AU"/>
        </w:rPr>
        <w:t> </w:t>
      </w:r>
      <w:r>
        <w:rPr>
          <w:lang w:eastAsia="en-AU"/>
        </w:rPr>
        <w:t xml:space="preserve">years and </w:t>
      </w:r>
      <w:r w:rsidR="00E224B4">
        <w:rPr>
          <w:lang w:eastAsia="en-AU"/>
        </w:rPr>
        <w:t>9</w:t>
      </w:r>
      <w:r>
        <w:rPr>
          <w:lang w:eastAsia="en-AU"/>
        </w:rPr>
        <w:t xml:space="preserve"> – 2</w:t>
      </w:r>
      <w:r w:rsidR="00E42606">
        <w:rPr>
          <w:lang w:eastAsia="en-AU"/>
        </w:rPr>
        <w:t>0</w:t>
      </w:r>
      <w:r>
        <w:rPr>
          <w:lang w:eastAsia="en-AU"/>
        </w:rPr>
        <w:t>% and 2</w:t>
      </w:r>
      <w:r w:rsidR="00E42606">
        <w:rPr>
          <w:lang w:eastAsia="en-AU"/>
        </w:rPr>
        <w:t>0</w:t>
      </w:r>
      <w:r>
        <w:rPr>
          <w:lang w:eastAsia="en-AU"/>
        </w:rPr>
        <w:t xml:space="preserve"> – </w:t>
      </w:r>
      <w:r w:rsidR="00E42606">
        <w:rPr>
          <w:lang w:eastAsia="en-AU"/>
        </w:rPr>
        <w:t>45</w:t>
      </w:r>
      <w:r>
        <w:rPr>
          <w:lang w:eastAsia="en-AU"/>
        </w:rPr>
        <w:t>% of the ADI respectively for New Zealanders aged 15 years and above, depending on the scenario.</w:t>
      </w:r>
    </w:p>
    <w:p w14:paraId="5109908F" w14:textId="3CAAE858" w:rsidR="00AB3E19" w:rsidRDefault="00AB3E19" w:rsidP="001C59CB">
      <w:pPr>
        <w:rPr>
          <w:lang w:eastAsia="en-AU"/>
        </w:rPr>
      </w:pPr>
    </w:p>
    <w:p w14:paraId="4B984CBE" w14:textId="7B13E7D2" w:rsidR="00AB3E19" w:rsidRDefault="00AB3E19" w:rsidP="00AB3E19">
      <w:r>
        <w:t xml:space="preserve">Further details can be found in </w:t>
      </w:r>
      <w:r w:rsidRPr="00456F82">
        <w:rPr>
          <w:b/>
        </w:rPr>
        <w:t>Table 8</w:t>
      </w:r>
      <w:r>
        <w:rPr>
          <w:b/>
        </w:rPr>
        <w:t xml:space="preserve"> </w:t>
      </w:r>
      <w:r w:rsidRPr="00AB3E19">
        <w:t xml:space="preserve">and </w:t>
      </w:r>
      <w:r>
        <w:rPr>
          <w:b/>
        </w:rPr>
        <w:t>Figure 9</w:t>
      </w:r>
      <w:r>
        <w:t>.</w:t>
      </w:r>
    </w:p>
    <w:p w14:paraId="473EB536" w14:textId="15D7D289" w:rsidR="001C59CB" w:rsidRDefault="001C59CB" w:rsidP="001C59CB">
      <w:pPr>
        <w:rPr>
          <w:lang w:eastAsia="en-AU"/>
        </w:rPr>
      </w:pPr>
    </w:p>
    <w:tbl>
      <w:tblPr>
        <w:tblStyle w:val="GridTable4-Accent5"/>
        <w:tblW w:w="5000" w:type="pct"/>
        <w:tblLook w:val="04A0" w:firstRow="1" w:lastRow="0" w:firstColumn="1" w:lastColumn="0" w:noHBand="0" w:noVBand="1"/>
        <w:tblDescription w:val="Estimated dietary exposures to Natural Glycolipids for Australians aged 2 years and above and New Zealanders aged 5-14 years and 15 years and above expressed a percentage the ADI of 2.0 mg/kg bw/day. The dietary exposures were assessed at both the Mean and P90 for all scenarios; General MPL, Specific MPL and Usual Use levels. This highest P90 dietary exposure was for New Zealand children aged 5-14 years for the General MPL scenario at 75% ADI."/>
      </w:tblPr>
      <w:tblGrid>
        <w:gridCol w:w="1398"/>
        <w:gridCol w:w="1397"/>
        <w:gridCol w:w="1489"/>
        <w:gridCol w:w="796"/>
        <w:gridCol w:w="798"/>
        <w:gridCol w:w="796"/>
        <w:gridCol w:w="798"/>
        <w:gridCol w:w="796"/>
        <w:gridCol w:w="802"/>
      </w:tblGrid>
      <w:tr w:rsidR="002746B1" w:rsidRPr="00036CB8" w14:paraId="3B6E350B" w14:textId="77777777" w:rsidTr="002746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il"/>
              <w:left w:val="nil"/>
              <w:right w:val="nil"/>
            </w:tcBorders>
            <w:shd w:val="clear" w:color="auto" w:fill="auto"/>
            <w:vAlign w:val="center"/>
          </w:tcPr>
          <w:p w14:paraId="0AFD889A" w14:textId="01ECFED9" w:rsidR="002746B1" w:rsidRPr="005F7B7D" w:rsidRDefault="002746B1" w:rsidP="002746B1">
            <w:pPr>
              <w:pStyle w:val="FSTableTitle"/>
              <w:rPr>
                <w:b/>
                <w:color w:val="auto"/>
              </w:rPr>
            </w:pPr>
            <w:r w:rsidRPr="002746B1">
              <w:rPr>
                <w:b/>
                <w:color w:val="auto"/>
              </w:rPr>
              <w:t xml:space="preserve">Table </w:t>
            </w:r>
            <w:r w:rsidRPr="002746B1">
              <w:fldChar w:fldCharType="begin"/>
            </w:r>
            <w:r w:rsidRPr="002746B1">
              <w:rPr>
                <w:b/>
                <w:color w:val="auto"/>
              </w:rPr>
              <w:instrText xml:space="preserve"> SEQ Table \* ARABIC </w:instrText>
            </w:r>
            <w:r w:rsidRPr="002746B1">
              <w:fldChar w:fldCharType="separate"/>
            </w:r>
            <w:r w:rsidR="00E202C8">
              <w:rPr>
                <w:b/>
                <w:noProof/>
                <w:color w:val="auto"/>
              </w:rPr>
              <w:t>8</w:t>
            </w:r>
            <w:r w:rsidRPr="002746B1">
              <w:fldChar w:fldCharType="end"/>
            </w:r>
            <w:r w:rsidRPr="002746B1">
              <w:rPr>
                <w:b/>
                <w:color w:val="auto"/>
              </w:rPr>
              <w:t xml:space="preserve">: Summary of estimated dietary exposures to </w:t>
            </w:r>
            <w:r w:rsidR="004C28B5">
              <w:rPr>
                <w:b/>
                <w:color w:val="auto"/>
              </w:rPr>
              <w:t>j</w:t>
            </w:r>
            <w:r w:rsidR="005F7B7D" w:rsidRPr="005F7B7D">
              <w:rPr>
                <w:b/>
                <w:color w:val="auto"/>
              </w:rPr>
              <w:t>elly mushroom glycolipids</w:t>
            </w:r>
            <w:r w:rsidRPr="002746B1">
              <w:rPr>
                <w:b/>
                <w:color w:val="auto"/>
              </w:rPr>
              <w:t xml:space="preserve"> from all scenarios assessed for Australian and New Zealander popu</w:t>
            </w:r>
            <w:r>
              <w:rPr>
                <w:b/>
                <w:color w:val="auto"/>
              </w:rPr>
              <w:t>lation groups, expressed as %ADI</w:t>
            </w:r>
          </w:p>
        </w:tc>
      </w:tr>
      <w:tr w:rsidR="001C59CB" w:rsidRPr="00036CB8" w14:paraId="78EEE825" w14:textId="77777777" w:rsidTr="002746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9"/>
            <w:vAlign w:val="center"/>
          </w:tcPr>
          <w:p w14:paraId="0CF6F3AD" w14:textId="58D541E5" w:rsidR="001C59CB" w:rsidRPr="00036CB8" w:rsidRDefault="001C59CB" w:rsidP="005D1D84">
            <w:pPr>
              <w:keepNext/>
              <w:keepLines/>
              <w:spacing w:before="80" w:after="80"/>
              <w:jc w:val="center"/>
            </w:pPr>
            <w:r>
              <w:t>Estimated consumer dietary exposure (%ADI)</w:t>
            </w:r>
          </w:p>
        </w:tc>
      </w:tr>
      <w:tr w:rsidR="001C59CB" w:rsidRPr="00036CB8" w14:paraId="6EBA9C34" w14:textId="77777777" w:rsidTr="002746B1">
        <w:trPr>
          <w:cnfStyle w:val="100000000000" w:firstRow="1" w:lastRow="0" w:firstColumn="0" w:lastColumn="0" w:oddVBand="0" w:evenVBand="0" w:oddHBand="0" w:evenHBand="0" w:firstRowFirstColumn="0" w:firstRowLastColumn="0" w:lastRowFirstColumn="0" w:lastRowLastColumn="0"/>
          <w:trHeight w:val="373"/>
          <w:tblHeader/>
        </w:trPr>
        <w:tc>
          <w:tcPr>
            <w:cnfStyle w:val="001000000000" w:firstRow="0" w:lastRow="0" w:firstColumn="1" w:lastColumn="0" w:oddVBand="0" w:evenVBand="0" w:oddHBand="0" w:evenHBand="0" w:firstRowFirstColumn="0" w:firstRowLastColumn="0" w:lastRowFirstColumn="0" w:lastRowLastColumn="0"/>
            <w:tcW w:w="770" w:type="pct"/>
            <w:vMerge w:val="restart"/>
            <w:tcBorders>
              <w:right w:val="single" w:sz="4" w:space="0" w:color="4BACC6" w:themeColor="accent5"/>
            </w:tcBorders>
            <w:vAlign w:val="center"/>
          </w:tcPr>
          <w:p w14:paraId="004CCB68" w14:textId="77777777" w:rsidR="001C59CB" w:rsidRPr="00036CB8" w:rsidRDefault="001C59CB" w:rsidP="00C156A4">
            <w:pPr>
              <w:keepNext/>
              <w:keepLines/>
              <w:spacing w:before="80" w:after="80"/>
            </w:pPr>
            <w:r>
              <w:t>Country</w:t>
            </w:r>
          </w:p>
        </w:tc>
        <w:tc>
          <w:tcPr>
            <w:tcW w:w="770" w:type="pct"/>
            <w:vMerge w:val="restart"/>
            <w:tcBorders>
              <w:left w:val="single" w:sz="4" w:space="0" w:color="4BACC6" w:themeColor="accent5"/>
              <w:right w:val="single" w:sz="4" w:space="0" w:color="4BACC6" w:themeColor="accent5"/>
            </w:tcBorders>
            <w:vAlign w:val="center"/>
          </w:tcPr>
          <w:p w14:paraId="1D2400EB" w14:textId="77777777" w:rsidR="001C59CB" w:rsidRPr="00D17ED7" w:rsidRDefault="001C59CB" w:rsidP="00C156A4">
            <w:pPr>
              <w:keepNext/>
              <w:keepLines/>
              <w:spacing w:before="80" w:after="80"/>
              <w:cnfStyle w:val="100000000000" w:firstRow="1" w:lastRow="0" w:firstColumn="0" w:lastColumn="0" w:oddVBand="0" w:evenVBand="0" w:oddHBand="0" w:evenHBand="0" w:firstRowFirstColumn="0" w:firstRowLastColumn="0" w:lastRowFirstColumn="0" w:lastRowLastColumn="0"/>
              <w:rPr>
                <w:b w:val="0"/>
                <w:bCs w:val="0"/>
              </w:rPr>
            </w:pPr>
            <w:r w:rsidRPr="00D17ED7">
              <w:rPr>
                <w:b w:val="0"/>
              </w:rPr>
              <w:t>Age</w:t>
            </w:r>
            <w:r>
              <w:rPr>
                <w:b w:val="0"/>
              </w:rPr>
              <w:t xml:space="preserve"> group</w:t>
            </w:r>
          </w:p>
        </w:tc>
        <w:tc>
          <w:tcPr>
            <w:tcW w:w="821" w:type="pct"/>
            <w:vMerge w:val="restart"/>
            <w:tcBorders>
              <w:left w:val="single" w:sz="4" w:space="0" w:color="4BACC6" w:themeColor="accent5"/>
            </w:tcBorders>
            <w:vAlign w:val="center"/>
          </w:tcPr>
          <w:p w14:paraId="0943EA54" w14:textId="77777777" w:rsidR="001C59CB" w:rsidRPr="00D17ED7" w:rsidRDefault="001C59CB" w:rsidP="00C156A4">
            <w:pPr>
              <w:keepNext/>
              <w:keepLines/>
              <w:spacing w:before="80" w:after="80"/>
              <w:jc w:val="center"/>
              <w:cnfStyle w:val="100000000000" w:firstRow="1" w:lastRow="0" w:firstColumn="0" w:lastColumn="0" w:oddVBand="0" w:evenVBand="0" w:oddHBand="0" w:evenHBand="0" w:firstRowFirstColumn="0" w:firstRowLastColumn="0" w:lastRowFirstColumn="0" w:lastRowLastColumn="0"/>
              <w:rPr>
                <w:b w:val="0"/>
                <w:bCs w:val="0"/>
              </w:rPr>
            </w:pPr>
            <w:r w:rsidRPr="009F78C9">
              <w:rPr>
                <w:b w:val="0"/>
              </w:rPr>
              <w:t>Consumer to Respondent ratio</w:t>
            </w:r>
          </w:p>
        </w:tc>
        <w:tc>
          <w:tcPr>
            <w:tcW w:w="879" w:type="pct"/>
            <w:gridSpan w:val="2"/>
            <w:vAlign w:val="center"/>
          </w:tcPr>
          <w:p w14:paraId="0D8147CC" w14:textId="77777777" w:rsidR="001C59CB" w:rsidRPr="00D17ED7" w:rsidRDefault="001C59CB" w:rsidP="00C156A4">
            <w:pPr>
              <w:keepNext/>
              <w:keepLines/>
              <w:spacing w:before="80" w:after="8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w:t>
            </w:r>
            <w:r w:rsidRPr="00D17ED7">
              <w:rPr>
                <w:b w:val="0"/>
                <w:bCs w:val="0"/>
              </w:rPr>
              <w:t>eneral</w:t>
            </w:r>
            <w:r>
              <w:rPr>
                <w:b w:val="0"/>
                <w:bCs w:val="0"/>
              </w:rPr>
              <w:t xml:space="preserve"> MPL</w:t>
            </w:r>
          </w:p>
        </w:tc>
        <w:tc>
          <w:tcPr>
            <w:tcW w:w="879" w:type="pct"/>
            <w:gridSpan w:val="2"/>
            <w:vAlign w:val="center"/>
          </w:tcPr>
          <w:p w14:paraId="33AC2830" w14:textId="77777777" w:rsidR="001C59CB" w:rsidRPr="00D17ED7" w:rsidRDefault="001C59CB" w:rsidP="00C156A4">
            <w:pPr>
              <w:keepNext/>
              <w:keepLines/>
              <w:spacing w:before="80" w:after="8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w:t>
            </w:r>
            <w:r w:rsidRPr="00D17ED7">
              <w:rPr>
                <w:b w:val="0"/>
                <w:bCs w:val="0"/>
              </w:rPr>
              <w:t>pecific</w:t>
            </w:r>
            <w:r>
              <w:rPr>
                <w:b w:val="0"/>
                <w:bCs w:val="0"/>
              </w:rPr>
              <w:t xml:space="preserve"> MPL</w:t>
            </w:r>
          </w:p>
        </w:tc>
        <w:tc>
          <w:tcPr>
            <w:tcW w:w="881" w:type="pct"/>
            <w:gridSpan w:val="2"/>
            <w:vAlign w:val="center"/>
          </w:tcPr>
          <w:p w14:paraId="6E8E936D" w14:textId="77777777" w:rsidR="001C59CB" w:rsidRPr="00D17ED7" w:rsidRDefault="001C59CB" w:rsidP="00C156A4">
            <w:pPr>
              <w:keepNext/>
              <w:keepLines/>
              <w:spacing w:before="80" w:after="80"/>
              <w:jc w:val="center"/>
              <w:cnfStyle w:val="100000000000" w:firstRow="1" w:lastRow="0" w:firstColumn="0" w:lastColumn="0" w:oddVBand="0" w:evenVBand="0" w:oddHBand="0" w:evenHBand="0" w:firstRowFirstColumn="0" w:firstRowLastColumn="0" w:lastRowFirstColumn="0" w:lastRowLastColumn="0"/>
              <w:rPr>
                <w:b w:val="0"/>
                <w:bCs w:val="0"/>
              </w:rPr>
            </w:pPr>
            <w:r w:rsidRPr="00D17ED7">
              <w:rPr>
                <w:b w:val="0"/>
                <w:bCs w:val="0"/>
              </w:rPr>
              <w:t xml:space="preserve">Usual </w:t>
            </w:r>
            <w:r>
              <w:rPr>
                <w:b w:val="0"/>
                <w:bCs w:val="0"/>
              </w:rPr>
              <w:t>U</w:t>
            </w:r>
            <w:r w:rsidRPr="00D17ED7">
              <w:rPr>
                <w:b w:val="0"/>
                <w:bCs w:val="0"/>
              </w:rPr>
              <w:t>se</w:t>
            </w:r>
          </w:p>
        </w:tc>
      </w:tr>
      <w:tr w:rsidR="001C59CB" w:rsidRPr="00036CB8" w14:paraId="645D4549" w14:textId="77777777" w:rsidTr="002746B1">
        <w:trPr>
          <w:cnfStyle w:val="100000000000" w:firstRow="1" w:lastRow="0" w:firstColumn="0" w:lastColumn="0" w:oddVBand="0" w:evenVBand="0" w:oddHBand="0" w:evenHBand="0" w:firstRowFirstColumn="0" w:firstRowLastColumn="0" w:lastRowFirstColumn="0" w:lastRowLastColumn="0"/>
          <w:trHeight w:val="373"/>
          <w:tblHeader/>
        </w:trPr>
        <w:tc>
          <w:tcPr>
            <w:cnfStyle w:val="001000000000" w:firstRow="0" w:lastRow="0" w:firstColumn="1" w:lastColumn="0" w:oddVBand="0" w:evenVBand="0" w:oddHBand="0" w:evenHBand="0" w:firstRowFirstColumn="0" w:firstRowLastColumn="0" w:lastRowFirstColumn="0" w:lastRowLastColumn="0"/>
            <w:tcW w:w="770" w:type="pct"/>
            <w:vMerge/>
            <w:tcBorders>
              <w:right w:val="single" w:sz="4" w:space="0" w:color="4BACC6" w:themeColor="accent5"/>
            </w:tcBorders>
            <w:vAlign w:val="center"/>
          </w:tcPr>
          <w:p w14:paraId="08076E68" w14:textId="77777777" w:rsidR="001C59CB" w:rsidRPr="00D17ED7" w:rsidRDefault="001C59CB" w:rsidP="00C156A4">
            <w:pPr>
              <w:keepNext/>
              <w:keepLines/>
              <w:spacing w:before="80" w:after="80"/>
            </w:pPr>
          </w:p>
        </w:tc>
        <w:tc>
          <w:tcPr>
            <w:tcW w:w="770" w:type="pct"/>
            <w:vMerge/>
            <w:tcBorders>
              <w:left w:val="single" w:sz="4" w:space="0" w:color="4BACC6" w:themeColor="accent5"/>
              <w:right w:val="single" w:sz="4" w:space="0" w:color="4BACC6" w:themeColor="accent5"/>
            </w:tcBorders>
            <w:vAlign w:val="center"/>
          </w:tcPr>
          <w:p w14:paraId="20233478" w14:textId="77777777" w:rsidR="001C59CB" w:rsidRPr="00D17ED7" w:rsidRDefault="001C59CB" w:rsidP="00C156A4">
            <w:pPr>
              <w:keepNext/>
              <w:keepLines/>
              <w:spacing w:before="80" w:after="80"/>
              <w:cnfStyle w:val="100000000000" w:firstRow="1" w:lastRow="0" w:firstColumn="0" w:lastColumn="0" w:oddVBand="0" w:evenVBand="0" w:oddHBand="0" w:evenHBand="0" w:firstRowFirstColumn="0" w:firstRowLastColumn="0" w:lastRowFirstColumn="0" w:lastRowLastColumn="0"/>
              <w:rPr>
                <w:b w:val="0"/>
              </w:rPr>
            </w:pPr>
          </w:p>
        </w:tc>
        <w:tc>
          <w:tcPr>
            <w:tcW w:w="821" w:type="pct"/>
            <w:vMerge/>
            <w:tcBorders>
              <w:left w:val="single" w:sz="4" w:space="0" w:color="4BACC6" w:themeColor="accent5"/>
            </w:tcBorders>
            <w:vAlign w:val="center"/>
          </w:tcPr>
          <w:p w14:paraId="01A0AB47" w14:textId="77777777" w:rsidR="001C59CB" w:rsidRPr="009F78C9" w:rsidRDefault="001C59CB" w:rsidP="00C156A4">
            <w:pPr>
              <w:keepNext/>
              <w:keepLines/>
              <w:spacing w:before="80" w:after="80"/>
              <w:jc w:val="center"/>
              <w:cnfStyle w:val="100000000000" w:firstRow="1" w:lastRow="0" w:firstColumn="0" w:lastColumn="0" w:oddVBand="0" w:evenVBand="0" w:oddHBand="0" w:evenHBand="0" w:firstRowFirstColumn="0" w:firstRowLastColumn="0" w:lastRowFirstColumn="0" w:lastRowLastColumn="0"/>
              <w:rPr>
                <w:b w:val="0"/>
              </w:rPr>
            </w:pPr>
          </w:p>
        </w:tc>
        <w:tc>
          <w:tcPr>
            <w:tcW w:w="439" w:type="pct"/>
            <w:vAlign w:val="center"/>
          </w:tcPr>
          <w:p w14:paraId="0BD76171" w14:textId="77777777" w:rsidR="001C59CB" w:rsidRPr="00D17ED7" w:rsidRDefault="001C59CB" w:rsidP="00C156A4">
            <w:pPr>
              <w:keepNext/>
              <w:keepLines/>
              <w:spacing w:before="80" w:after="80"/>
              <w:jc w:val="center"/>
              <w:cnfStyle w:val="100000000000" w:firstRow="1" w:lastRow="0" w:firstColumn="0" w:lastColumn="0" w:oddVBand="0" w:evenVBand="0" w:oddHBand="0" w:evenHBand="0" w:firstRowFirstColumn="0" w:firstRowLastColumn="0" w:lastRowFirstColumn="0" w:lastRowLastColumn="0"/>
              <w:rPr>
                <w:b w:val="0"/>
              </w:rPr>
            </w:pPr>
            <w:r w:rsidRPr="00D17ED7">
              <w:rPr>
                <w:b w:val="0"/>
              </w:rPr>
              <w:t>Mean</w:t>
            </w:r>
          </w:p>
        </w:tc>
        <w:tc>
          <w:tcPr>
            <w:tcW w:w="439" w:type="pct"/>
            <w:vAlign w:val="center"/>
          </w:tcPr>
          <w:p w14:paraId="60C1EAB1" w14:textId="77777777" w:rsidR="001C59CB" w:rsidRPr="00D17ED7" w:rsidRDefault="001C59CB" w:rsidP="00C156A4">
            <w:pPr>
              <w:keepNext/>
              <w:keepLines/>
              <w:spacing w:before="80" w:after="80"/>
              <w:jc w:val="center"/>
              <w:cnfStyle w:val="100000000000" w:firstRow="1" w:lastRow="0" w:firstColumn="0" w:lastColumn="0" w:oddVBand="0" w:evenVBand="0" w:oddHBand="0" w:evenHBand="0" w:firstRowFirstColumn="0" w:firstRowLastColumn="0" w:lastRowFirstColumn="0" w:lastRowLastColumn="0"/>
              <w:rPr>
                <w:b w:val="0"/>
              </w:rPr>
            </w:pPr>
            <w:r w:rsidRPr="00D17ED7">
              <w:rPr>
                <w:b w:val="0"/>
              </w:rPr>
              <w:t>P90</w:t>
            </w:r>
          </w:p>
        </w:tc>
        <w:tc>
          <w:tcPr>
            <w:tcW w:w="439" w:type="pct"/>
            <w:vAlign w:val="center"/>
          </w:tcPr>
          <w:p w14:paraId="0A5567F3" w14:textId="77777777" w:rsidR="001C59CB" w:rsidRPr="00D17ED7" w:rsidRDefault="001C59CB" w:rsidP="00C156A4">
            <w:pPr>
              <w:keepNext/>
              <w:keepLines/>
              <w:spacing w:before="80" w:after="80"/>
              <w:jc w:val="center"/>
              <w:cnfStyle w:val="100000000000" w:firstRow="1" w:lastRow="0" w:firstColumn="0" w:lastColumn="0" w:oddVBand="0" w:evenVBand="0" w:oddHBand="0" w:evenHBand="0" w:firstRowFirstColumn="0" w:firstRowLastColumn="0" w:lastRowFirstColumn="0" w:lastRowLastColumn="0"/>
              <w:rPr>
                <w:b w:val="0"/>
              </w:rPr>
            </w:pPr>
            <w:r w:rsidRPr="00D17ED7">
              <w:rPr>
                <w:b w:val="0"/>
              </w:rPr>
              <w:t>Mean</w:t>
            </w:r>
          </w:p>
        </w:tc>
        <w:tc>
          <w:tcPr>
            <w:tcW w:w="439" w:type="pct"/>
            <w:vAlign w:val="center"/>
          </w:tcPr>
          <w:p w14:paraId="098196C5" w14:textId="77777777" w:rsidR="001C59CB" w:rsidRPr="00D17ED7" w:rsidRDefault="001C59CB" w:rsidP="00C156A4">
            <w:pPr>
              <w:keepNext/>
              <w:keepLines/>
              <w:spacing w:before="80" w:after="80"/>
              <w:jc w:val="center"/>
              <w:cnfStyle w:val="100000000000" w:firstRow="1" w:lastRow="0" w:firstColumn="0" w:lastColumn="0" w:oddVBand="0" w:evenVBand="0" w:oddHBand="0" w:evenHBand="0" w:firstRowFirstColumn="0" w:firstRowLastColumn="0" w:lastRowFirstColumn="0" w:lastRowLastColumn="0"/>
              <w:rPr>
                <w:b w:val="0"/>
              </w:rPr>
            </w:pPr>
            <w:r w:rsidRPr="00D17ED7">
              <w:rPr>
                <w:b w:val="0"/>
              </w:rPr>
              <w:t>P90</w:t>
            </w:r>
          </w:p>
        </w:tc>
        <w:tc>
          <w:tcPr>
            <w:tcW w:w="439" w:type="pct"/>
            <w:vAlign w:val="center"/>
          </w:tcPr>
          <w:p w14:paraId="4B81AD9A" w14:textId="77777777" w:rsidR="001C59CB" w:rsidRPr="00D17ED7" w:rsidRDefault="001C59CB" w:rsidP="00C156A4">
            <w:pPr>
              <w:keepNext/>
              <w:keepLines/>
              <w:spacing w:before="80" w:after="80"/>
              <w:jc w:val="center"/>
              <w:cnfStyle w:val="100000000000" w:firstRow="1" w:lastRow="0" w:firstColumn="0" w:lastColumn="0" w:oddVBand="0" w:evenVBand="0" w:oddHBand="0" w:evenHBand="0" w:firstRowFirstColumn="0" w:firstRowLastColumn="0" w:lastRowFirstColumn="0" w:lastRowLastColumn="0"/>
              <w:rPr>
                <w:b w:val="0"/>
              </w:rPr>
            </w:pPr>
            <w:r w:rsidRPr="00D17ED7">
              <w:rPr>
                <w:b w:val="0"/>
              </w:rPr>
              <w:t>Mean</w:t>
            </w:r>
          </w:p>
        </w:tc>
        <w:tc>
          <w:tcPr>
            <w:tcW w:w="442" w:type="pct"/>
            <w:vAlign w:val="center"/>
          </w:tcPr>
          <w:p w14:paraId="48EDC2F6" w14:textId="77777777" w:rsidR="001C59CB" w:rsidRPr="00D17ED7" w:rsidRDefault="001C59CB" w:rsidP="00C156A4">
            <w:pPr>
              <w:keepNext/>
              <w:keepLines/>
              <w:spacing w:before="80" w:after="80"/>
              <w:jc w:val="center"/>
              <w:cnfStyle w:val="100000000000" w:firstRow="1" w:lastRow="0" w:firstColumn="0" w:lastColumn="0" w:oddVBand="0" w:evenVBand="0" w:oddHBand="0" w:evenHBand="0" w:firstRowFirstColumn="0" w:firstRowLastColumn="0" w:lastRowFirstColumn="0" w:lastRowLastColumn="0"/>
              <w:rPr>
                <w:b w:val="0"/>
              </w:rPr>
            </w:pPr>
            <w:r w:rsidRPr="00D17ED7">
              <w:rPr>
                <w:b w:val="0"/>
              </w:rPr>
              <w:t>P90</w:t>
            </w:r>
          </w:p>
        </w:tc>
      </w:tr>
      <w:tr w:rsidR="001C59CB" w:rsidRPr="00036CB8" w14:paraId="20CAF639" w14:textId="77777777" w:rsidTr="002746B1">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70" w:type="pct"/>
            <w:vAlign w:val="center"/>
          </w:tcPr>
          <w:p w14:paraId="6937ED44" w14:textId="77777777" w:rsidR="001C59CB" w:rsidRPr="00036CB8" w:rsidRDefault="001C59CB" w:rsidP="00C156A4">
            <w:pPr>
              <w:keepNext/>
              <w:keepLines/>
              <w:spacing w:before="80" w:after="80"/>
            </w:pPr>
            <w:r>
              <w:t>New Zealand</w:t>
            </w:r>
          </w:p>
        </w:tc>
        <w:tc>
          <w:tcPr>
            <w:tcW w:w="770" w:type="pct"/>
            <w:vAlign w:val="center"/>
          </w:tcPr>
          <w:p w14:paraId="21962B30" w14:textId="77777777" w:rsidR="001C59CB" w:rsidRPr="00036CB8" w:rsidRDefault="001C59CB" w:rsidP="00C156A4">
            <w:pPr>
              <w:keepNext/>
              <w:keepLines/>
              <w:spacing w:before="80" w:after="80"/>
              <w:cnfStyle w:val="000000100000" w:firstRow="0" w:lastRow="0" w:firstColumn="0" w:lastColumn="0" w:oddVBand="0" w:evenVBand="0" w:oddHBand="1" w:evenHBand="0" w:firstRowFirstColumn="0" w:firstRowLastColumn="0" w:lastRowFirstColumn="0" w:lastRowLastColumn="0"/>
            </w:pPr>
            <w:r w:rsidRPr="00036CB8">
              <w:t>5-14 years</w:t>
            </w:r>
          </w:p>
        </w:tc>
        <w:tc>
          <w:tcPr>
            <w:tcW w:w="821" w:type="pct"/>
            <w:vAlign w:val="center"/>
          </w:tcPr>
          <w:p w14:paraId="19038FFB" w14:textId="77777777" w:rsidR="001C59CB" w:rsidRPr="00036CB8" w:rsidRDefault="001C59CB" w:rsidP="00C156A4">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t>72.8</w:t>
            </w:r>
          </w:p>
        </w:tc>
        <w:tc>
          <w:tcPr>
            <w:tcW w:w="439" w:type="pct"/>
            <w:vAlign w:val="center"/>
          </w:tcPr>
          <w:p w14:paraId="38B744DC" w14:textId="2D1CF90D" w:rsidR="001C59CB" w:rsidRPr="00036CB8" w:rsidRDefault="00437A67" w:rsidP="00C156A4">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t>35</w:t>
            </w:r>
          </w:p>
        </w:tc>
        <w:tc>
          <w:tcPr>
            <w:tcW w:w="439" w:type="pct"/>
            <w:vAlign w:val="center"/>
          </w:tcPr>
          <w:p w14:paraId="69D979FF" w14:textId="4A8FEBDD" w:rsidR="001C59CB" w:rsidRPr="00036CB8" w:rsidRDefault="00437A67" w:rsidP="00C156A4">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t>75</w:t>
            </w:r>
          </w:p>
        </w:tc>
        <w:tc>
          <w:tcPr>
            <w:tcW w:w="439" w:type="pct"/>
            <w:vAlign w:val="center"/>
          </w:tcPr>
          <w:p w14:paraId="572A0FD1" w14:textId="1765C985" w:rsidR="001C59CB" w:rsidRPr="00036CB8" w:rsidRDefault="00437A67" w:rsidP="00C156A4">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t>25</w:t>
            </w:r>
          </w:p>
        </w:tc>
        <w:tc>
          <w:tcPr>
            <w:tcW w:w="439" w:type="pct"/>
            <w:vAlign w:val="center"/>
          </w:tcPr>
          <w:p w14:paraId="03AD9926" w14:textId="2C78ABB6" w:rsidR="001C59CB" w:rsidRPr="00036CB8" w:rsidRDefault="00437A67" w:rsidP="00C156A4">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t>60</w:t>
            </w:r>
          </w:p>
        </w:tc>
        <w:tc>
          <w:tcPr>
            <w:tcW w:w="439" w:type="pct"/>
            <w:vAlign w:val="center"/>
          </w:tcPr>
          <w:p w14:paraId="35D90093" w14:textId="1F1886ED" w:rsidR="001C59CB" w:rsidRPr="00036CB8" w:rsidRDefault="00437A67" w:rsidP="00C156A4">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t>15</w:t>
            </w:r>
          </w:p>
        </w:tc>
        <w:tc>
          <w:tcPr>
            <w:tcW w:w="442" w:type="pct"/>
            <w:vAlign w:val="center"/>
          </w:tcPr>
          <w:p w14:paraId="60F7E2F7" w14:textId="4073DCA7" w:rsidR="001C59CB" w:rsidRPr="00036CB8" w:rsidRDefault="00437A67" w:rsidP="00C156A4">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t>45</w:t>
            </w:r>
          </w:p>
        </w:tc>
      </w:tr>
      <w:tr w:rsidR="001C59CB" w:rsidRPr="00036CB8" w14:paraId="13F6299D" w14:textId="77777777" w:rsidTr="002746B1">
        <w:trPr>
          <w:trHeight w:val="373"/>
        </w:trPr>
        <w:tc>
          <w:tcPr>
            <w:cnfStyle w:val="001000000000" w:firstRow="0" w:lastRow="0" w:firstColumn="1" w:lastColumn="0" w:oddVBand="0" w:evenVBand="0" w:oddHBand="0" w:evenHBand="0" w:firstRowFirstColumn="0" w:firstRowLastColumn="0" w:lastRowFirstColumn="0" w:lastRowLastColumn="0"/>
            <w:tcW w:w="770" w:type="pct"/>
            <w:vAlign w:val="center"/>
          </w:tcPr>
          <w:p w14:paraId="2554B00A" w14:textId="77777777" w:rsidR="001C59CB" w:rsidRPr="00036CB8" w:rsidRDefault="001C59CB" w:rsidP="00C156A4">
            <w:pPr>
              <w:keepNext/>
              <w:keepLines/>
              <w:spacing w:before="80" w:after="80"/>
            </w:pPr>
          </w:p>
        </w:tc>
        <w:tc>
          <w:tcPr>
            <w:tcW w:w="770" w:type="pct"/>
            <w:vAlign w:val="center"/>
          </w:tcPr>
          <w:p w14:paraId="3CF2467A" w14:textId="77777777" w:rsidR="001C59CB" w:rsidRPr="00036CB8" w:rsidRDefault="001C59CB" w:rsidP="00C156A4">
            <w:pPr>
              <w:keepNext/>
              <w:keepLines/>
              <w:spacing w:before="80" w:after="80"/>
              <w:cnfStyle w:val="000000000000" w:firstRow="0" w:lastRow="0" w:firstColumn="0" w:lastColumn="0" w:oddVBand="0" w:evenVBand="0" w:oddHBand="0" w:evenHBand="0" w:firstRowFirstColumn="0" w:firstRowLastColumn="0" w:lastRowFirstColumn="0" w:lastRowLastColumn="0"/>
            </w:pPr>
            <w:r w:rsidRPr="00036CB8">
              <w:t>15 years and above</w:t>
            </w:r>
          </w:p>
        </w:tc>
        <w:tc>
          <w:tcPr>
            <w:tcW w:w="821" w:type="pct"/>
            <w:vAlign w:val="center"/>
          </w:tcPr>
          <w:p w14:paraId="35867DCE" w14:textId="77777777" w:rsidR="001C59CB" w:rsidRPr="00036CB8" w:rsidRDefault="001C59CB" w:rsidP="00C156A4">
            <w:pPr>
              <w:keepNext/>
              <w:keepLines/>
              <w:spacing w:before="80" w:after="80"/>
              <w:jc w:val="center"/>
              <w:cnfStyle w:val="000000000000" w:firstRow="0" w:lastRow="0" w:firstColumn="0" w:lastColumn="0" w:oddVBand="0" w:evenVBand="0" w:oddHBand="0" w:evenHBand="0" w:firstRowFirstColumn="0" w:firstRowLastColumn="0" w:lastRowFirstColumn="0" w:lastRowLastColumn="0"/>
            </w:pPr>
            <w:r>
              <w:t>65.5</w:t>
            </w:r>
          </w:p>
        </w:tc>
        <w:tc>
          <w:tcPr>
            <w:tcW w:w="439" w:type="pct"/>
            <w:vAlign w:val="center"/>
          </w:tcPr>
          <w:p w14:paraId="03950641" w14:textId="24583C87" w:rsidR="001C59CB" w:rsidRPr="00036CB8" w:rsidRDefault="001C59CB" w:rsidP="00C156A4">
            <w:pPr>
              <w:keepNext/>
              <w:keepLines/>
              <w:spacing w:before="80" w:after="80"/>
              <w:jc w:val="center"/>
              <w:cnfStyle w:val="000000000000" w:firstRow="0" w:lastRow="0" w:firstColumn="0" w:lastColumn="0" w:oddVBand="0" w:evenVBand="0" w:oddHBand="0" w:evenHBand="0" w:firstRowFirstColumn="0" w:firstRowLastColumn="0" w:lastRowFirstColumn="0" w:lastRowLastColumn="0"/>
            </w:pPr>
            <w:r w:rsidRPr="00036CB8">
              <w:t>2</w:t>
            </w:r>
            <w:r w:rsidR="00437A67">
              <w:t>0</w:t>
            </w:r>
          </w:p>
        </w:tc>
        <w:tc>
          <w:tcPr>
            <w:tcW w:w="439" w:type="pct"/>
            <w:vAlign w:val="center"/>
          </w:tcPr>
          <w:p w14:paraId="071DAADB" w14:textId="31CD45FA" w:rsidR="001C59CB" w:rsidRPr="00036CB8" w:rsidRDefault="00437A67" w:rsidP="00C156A4">
            <w:pPr>
              <w:keepNext/>
              <w:keepLines/>
              <w:spacing w:before="80" w:after="80"/>
              <w:jc w:val="center"/>
              <w:cnfStyle w:val="000000000000" w:firstRow="0" w:lastRow="0" w:firstColumn="0" w:lastColumn="0" w:oddVBand="0" w:evenVBand="0" w:oddHBand="0" w:evenHBand="0" w:firstRowFirstColumn="0" w:firstRowLastColumn="0" w:lastRowFirstColumn="0" w:lastRowLastColumn="0"/>
            </w:pPr>
            <w:r>
              <w:t>45</w:t>
            </w:r>
          </w:p>
        </w:tc>
        <w:tc>
          <w:tcPr>
            <w:tcW w:w="439" w:type="pct"/>
            <w:vAlign w:val="center"/>
          </w:tcPr>
          <w:p w14:paraId="183052BA" w14:textId="77777777" w:rsidR="001C59CB" w:rsidRPr="00036CB8" w:rsidRDefault="001C59CB" w:rsidP="00C156A4">
            <w:pPr>
              <w:keepNext/>
              <w:keepLines/>
              <w:spacing w:before="80" w:after="80"/>
              <w:jc w:val="center"/>
              <w:cnfStyle w:val="000000000000" w:firstRow="0" w:lastRow="0" w:firstColumn="0" w:lastColumn="0" w:oddVBand="0" w:evenVBand="0" w:oddHBand="0" w:evenHBand="0" w:firstRowFirstColumn="0" w:firstRowLastColumn="0" w:lastRowFirstColumn="0" w:lastRowLastColumn="0"/>
            </w:pPr>
            <w:r>
              <w:t>15</w:t>
            </w:r>
          </w:p>
        </w:tc>
        <w:tc>
          <w:tcPr>
            <w:tcW w:w="439" w:type="pct"/>
            <w:vAlign w:val="center"/>
          </w:tcPr>
          <w:p w14:paraId="10E261C5" w14:textId="697B5D75" w:rsidR="001C59CB" w:rsidRPr="00036CB8" w:rsidRDefault="00437A67" w:rsidP="00C156A4">
            <w:pPr>
              <w:keepNext/>
              <w:keepLines/>
              <w:spacing w:before="80" w:after="80"/>
              <w:jc w:val="center"/>
              <w:cnfStyle w:val="000000000000" w:firstRow="0" w:lastRow="0" w:firstColumn="0" w:lastColumn="0" w:oddVBand="0" w:evenVBand="0" w:oddHBand="0" w:evenHBand="0" w:firstRowFirstColumn="0" w:firstRowLastColumn="0" w:lastRowFirstColumn="0" w:lastRowLastColumn="0"/>
            </w:pPr>
            <w:r>
              <w:t>30</w:t>
            </w:r>
          </w:p>
        </w:tc>
        <w:tc>
          <w:tcPr>
            <w:tcW w:w="439" w:type="pct"/>
            <w:vAlign w:val="center"/>
          </w:tcPr>
          <w:p w14:paraId="57CD7EE2" w14:textId="4C55BA86" w:rsidR="001C59CB" w:rsidRPr="00036CB8" w:rsidRDefault="00E224B4" w:rsidP="00C156A4">
            <w:pPr>
              <w:keepNext/>
              <w:keepLines/>
              <w:spacing w:before="80" w:after="80"/>
              <w:jc w:val="center"/>
              <w:cnfStyle w:val="000000000000" w:firstRow="0" w:lastRow="0" w:firstColumn="0" w:lastColumn="0" w:oddVBand="0" w:evenVBand="0" w:oddHBand="0" w:evenHBand="0" w:firstRowFirstColumn="0" w:firstRowLastColumn="0" w:lastRowFirstColumn="0" w:lastRowLastColumn="0"/>
            </w:pPr>
            <w:r>
              <w:t>9</w:t>
            </w:r>
          </w:p>
        </w:tc>
        <w:tc>
          <w:tcPr>
            <w:tcW w:w="442" w:type="pct"/>
            <w:vAlign w:val="center"/>
          </w:tcPr>
          <w:p w14:paraId="01898669" w14:textId="2629E5AA" w:rsidR="001C59CB" w:rsidRPr="00036CB8" w:rsidRDefault="001C59CB" w:rsidP="00C156A4">
            <w:pPr>
              <w:keepNext/>
              <w:keepLines/>
              <w:spacing w:before="80" w:after="80"/>
              <w:jc w:val="center"/>
              <w:cnfStyle w:val="000000000000" w:firstRow="0" w:lastRow="0" w:firstColumn="0" w:lastColumn="0" w:oddVBand="0" w:evenVBand="0" w:oddHBand="0" w:evenHBand="0" w:firstRowFirstColumn="0" w:firstRowLastColumn="0" w:lastRowFirstColumn="0" w:lastRowLastColumn="0"/>
            </w:pPr>
            <w:r>
              <w:t>2</w:t>
            </w:r>
            <w:r w:rsidR="00437A67">
              <w:t>0</w:t>
            </w:r>
          </w:p>
        </w:tc>
      </w:tr>
      <w:tr w:rsidR="001C59CB" w:rsidRPr="00036CB8" w14:paraId="33D4E25F" w14:textId="77777777" w:rsidTr="002746B1">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70" w:type="pct"/>
            <w:vAlign w:val="center"/>
          </w:tcPr>
          <w:p w14:paraId="65A719BE" w14:textId="77777777" w:rsidR="001C59CB" w:rsidRPr="00036CB8" w:rsidRDefault="001C59CB" w:rsidP="00C156A4">
            <w:pPr>
              <w:keepNext/>
              <w:keepLines/>
              <w:spacing w:before="80" w:after="80"/>
            </w:pPr>
            <w:r>
              <w:t>Australia</w:t>
            </w:r>
          </w:p>
        </w:tc>
        <w:tc>
          <w:tcPr>
            <w:tcW w:w="770" w:type="pct"/>
            <w:vAlign w:val="center"/>
          </w:tcPr>
          <w:p w14:paraId="56936BB8" w14:textId="77777777" w:rsidR="001C59CB" w:rsidRPr="00036CB8" w:rsidRDefault="001C59CB" w:rsidP="00C156A4">
            <w:pPr>
              <w:keepNext/>
              <w:keepLines/>
              <w:spacing w:before="80" w:after="80"/>
              <w:cnfStyle w:val="000000100000" w:firstRow="0" w:lastRow="0" w:firstColumn="0" w:lastColumn="0" w:oddVBand="0" w:evenVBand="0" w:oddHBand="1" w:evenHBand="0" w:firstRowFirstColumn="0" w:firstRowLastColumn="0" w:lastRowFirstColumn="0" w:lastRowLastColumn="0"/>
            </w:pPr>
            <w:r w:rsidRPr="00036CB8">
              <w:t>2 years and above</w:t>
            </w:r>
          </w:p>
        </w:tc>
        <w:tc>
          <w:tcPr>
            <w:tcW w:w="821" w:type="pct"/>
            <w:vAlign w:val="center"/>
          </w:tcPr>
          <w:p w14:paraId="70986455" w14:textId="77777777" w:rsidR="001C59CB" w:rsidRPr="00036CB8" w:rsidRDefault="001C59CB" w:rsidP="00C156A4">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t>74.4</w:t>
            </w:r>
          </w:p>
        </w:tc>
        <w:tc>
          <w:tcPr>
            <w:tcW w:w="439" w:type="pct"/>
            <w:vAlign w:val="center"/>
          </w:tcPr>
          <w:p w14:paraId="214DFFB3" w14:textId="7D82CDA7" w:rsidR="001C59CB" w:rsidRPr="00036CB8" w:rsidRDefault="00437A67" w:rsidP="00C156A4">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t>25</w:t>
            </w:r>
          </w:p>
        </w:tc>
        <w:tc>
          <w:tcPr>
            <w:tcW w:w="439" w:type="pct"/>
            <w:vAlign w:val="center"/>
          </w:tcPr>
          <w:p w14:paraId="48574261" w14:textId="316303D9" w:rsidR="001C59CB" w:rsidRPr="00036CB8" w:rsidRDefault="00437A67" w:rsidP="00C156A4">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t>50</w:t>
            </w:r>
          </w:p>
        </w:tc>
        <w:tc>
          <w:tcPr>
            <w:tcW w:w="439" w:type="pct"/>
            <w:vAlign w:val="center"/>
          </w:tcPr>
          <w:p w14:paraId="569A6099" w14:textId="211E8BD8" w:rsidR="001C59CB" w:rsidRPr="00036CB8" w:rsidRDefault="00437A67" w:rsidP="00C156A4">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t>15</w:t>
            </w:r>
          </w:p>
        </w:tc>
        <w:tc>
          <w:tcPr>
            <w:tcW w:w="439" w:type="pct"/>
            <w:vAlign w:val="center"/>
          </w:tcPr>
          <w:p w14:paraId="7B78B3DB" w14:textId="3AE0C2D8" w:rsidR="001C59CB" w:rsidRPr="00036CB8" w:rsidRDefault="00E42606" w:rsidP="00C156A4">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t>35</w:t>
            </w:r>
          </w:p>
        </w:tc>
        <w:tc>
          <w:tcPr>
            <w:tcW w:w="439" w:type="pct"/>
            <w:vAlign w:val="center"/>
          </w:tcPr>
          <w:p w14:paraId="6098D670" w14:textId="77777777" w:rsidR="001C59CB" w:rsidRPr="00036CB8" w:rsidRDefault="001C59CB" w:rsidP="00C156A4">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t>10</w:t>
            </w:r>
          </w:p>
        </w:tc>
        <w:tc>
          <w:tcPr>
            <w:tcW w:w="442" w:type="pct"/>
            <w:vAlign w:val="center"/>
          </w:tcPr>
          <w:p w14:paraId="62676685" w14:textId="63D40E15" w:rsidR="001C59CB" w:rsidRPr="00036CB8" w:rsidRDefault="00E42606" w:rsidP="00C156A4">
            <w:pPr>
              <w:keepNext/>
              <w:keepLines/>
              <w:spacing w:before="80" w:after="80"/>
              <w:jc w:val="center"/>
              <w:cnfStyle w:val="000000100000" w:firstRow="0" w:lastRow="0" w:firstColumn="0" w:lastColumn="0" w:oddVBand="0" w:evenVBand="0" w:oddHBand="1" w:evenHBand="0" w:firstRowFirstColumn="0" w:firstRowLastColumn="0" w:lastRowFirstColumn="0" w:lastRowLastColumn="0"/>
            </w:pPr>
            <w:r>
              <w:t>25</w:t>
            </w:r>
          </w:p>
        </w:tc>
      </w:tr>
    </w:tbl>
    <w:p w14:paraId="2EFF4FE4" w14:textId="02A0B943" w:rsidR="00E42606" w:rsidRDefault="00E42606" w:rsidP="00873579"/>
    <w:p w14:paraId="4DB7B87C" w14:textId="00DD3837" w:rsidR="00E42606" w:rsidRDefault="00956616" w:rsidP="003116A1">
      <w:pPr>
        <w:pStyle w:val="FSFigureTitle"/>
        <w:keepNext/>
        <w:keepLines/>
      </w:pPr>
      <w:r>
        <w:rPr>
          <w:noProof/>
          <w:lang w:eastAsia="en-GB" w:bidi="ar-SA"/>
        </w:rPr>
        <w:drawing>
          <wp:inline distT="0" distB="0" distL="0" distR="0" wp14:anchorId="7E4DF74E" wp14:editId="0FE5C873">
            <wp:extent cx="5760000" cy="3877200"/>
            <wp:effectExtent l="0" t="0" r="0" b="9525"/>
            <wp:docPr id="9" name="Picture 9" descr="Estimated consumer dietary exposure assessment showed that mean and P90 estimated dietary exposures for all scenarios and population groups fell below the ADI of 2.0 mg/kg bw/day. The mean dietary exposures ranged from 9-35% of the ADI and P90 dietary exposures ranged from 20-75% of the A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0000" cy="3877200"/>
                    </a:xfrm>
                    <a:prstGeom prst="rect">
                      <a:avLst/>
                    </a:prstGeom>
                    <a:noFill/>
                  </pic:spPr>
                </pic:pic>
              </a:graphicData>
            </a:graphic>
          </wp:inline>
        </w:drawing>
      </w:r>
    </w:p>
    <w:p w14:paraId="1D33BB6F" w14:textId="1EDC3CDD" w:rsidR="001C59CB" w:rsidRDefault="00406EB2" w:rsidP="003116A1">
      <w:pPr>
        <w:pStyle w:val="FSFigureTitle"/>
        <w:keepNext/>
        <w:keepLines/>
        <w:rPr>
          <w:lang w:eastAsia="en-AU"/>
        </w:rPr>
      </w:pPr>
      <w:r w:rsidRPr="00406EB2">
        <w:rPr>
          <w:b/>
        </w:rPr>
        <w:t xml:space="preserve">Figure </w:t>
      </w:r>
      <w:r w:rsidRPr="00406EB2">
        <w:rPr>
          <w:b/>
        </w:rPr>
        <w:fldChar w:fldCharType="begin"/>
      </w:r>
      <w:r w:rsidRPr="00406EB2">
        <w:rPr>
          <w:b/>
        </w:rPr>
        <w:instrText xml:space="preserve"> SEQ Figure \* ARABIC </w:instrText>
      </w:r>
      <w:r w:rsidRPr="00406EB2">
        <w:rPr>
          <w:b/>
        </w:rPr>
        <w:fldChar w:fldCharType="separate"/>
      </w:r>
      <w:r w:rsidR="00E202C8">
        <w:rPr>
          <w:b/>
          <w:noProof/>
        </w:rPr>
        <w:t>9</w:t>
      </w:r>
      <w:r w:rsidRPr="00406EB2">
        <w:rPr>
          <w:b/>
        </w:rPr>
        <w:fldChar w:fldCharType="end"/>
      </w:r>
      <w:r w:rsidRPr="00837AED">
        <w:rPr>
          <w:i w:val="0"/>
        </w:rPr>
        <w:tab/>
      </w:r>
      <w:r w:rsidR="001C59CB" w:rsidRPr="00C156A4">
        <w:rPr>
          <w:lang w:eastAsia="en-AU"/>
        </w:rPr>
        <w:t xml:space="preserve">Estimated consumer dietary exposure to </w:t>
      </w:r>
      <w:r w:rsidR="004C28B5">
        <w:t>j</w:t>
      </w:r>
      <w:r w:rsidR="005F7B7D">
        <w:t>elly mushroom glycolipids</w:t>
      </w:r>
      <w:r w:rsidR="001C59CB" w:rsidRPr="00C156A4">
        <w:rPr>
          <w:lang w:eastAsia="en-AU"/>
        </w:rPr>
        <w:t xml:space="preserve"> for Australian</w:t>
      </w:r>
      <w:r w:rsidR="001C59CB">
        <w:rPr>
          <w:lang w:eastAsia="en-AU"/>
        </w:rPr>
        <w:t xml:space="preserve"> and New Zealand population groups, as %ADI</w:t>
      </w:r>
    </w:p>
    <w:p w14:paraId="64AA5E93" w14:textId="1306A494" w:rsidR="001C59CB" w:rsidRDefault="00360EB2" w:rsidP="000D20BD">
      <w:pPr>
        <w:pStyle w:val="Heading2"/>
      </w:pPr>
      <w:bookmarkStart w:id="176" w:name="_Toc45284311"/>
      <w:bookmarkStart w:id="177" w:name="_Toc43217074"/>
      <w:bookmarkStart w:id="178" w:name="_Toc44401559"/>
      <w:bookmarkStart w:id="179" w:name="_Toc46929432"/>
      <w:r>
        <w:t>5</w:t>
      </w:r>
      <w:bookmarkEnd w:id="176"/>
      <w:r w:rsidR="00C931D4">
        <w:t>.8</w:t>
      </w:r>
      <w:r>
        <w:t xml:space="preserve"> </w:t>
      </w:r>
      <w:r w:rsidR="001C59CB" w:rsidRPr="00CD4EF1">
        <w:t xml:space="preserve">Summary of </w:t>
      </w:r>
      <w:r>
        <w:t xml:space="preserve">Dietary Exposure Assessment </w:t>
      </w:r>
      <w:r w:rsidR="001C59CB" w:rsidRPr="00CD4EF1">
        <w:t>Results</w:t>
      </w:r>
      <w:bookmarkEnd w:id="177"/>
      <w:bookmarkEnd w:id="178"/>
      <w:bookmarkEnd w:id="179"/>
    </w:p>
    <w:p w14:paraId="76FB11A7" w14:textId="097E4A51" w:rsidR="001C59CB" w:rsidRDefault="001C59CB" w:rsidP="001C59CB">
      <w:pPr>
        <w:rPr>
          <w:lang w:eastAsia="en-AU"/>
        </w:rPr>
      </w:pPr>
      <w:r>
        <w:t xml:space="preserve">For all of the </w:t>
      </w:r>
      <w:r w:rsidRPr="00EF43AF">
        <w:t xml:space="preserve">population groups assessed, New Zealand </w:t>
      </w:r>
      <w:r>
        <w:t>children</w:t>
      </w:r>
      <w:r w:rsidRPr="00EF43AF">
        <w:t xml:space="preserve"> aged </w:t>
      </w:r>
      <w:r>
        <w:t>5-14</w:t>
      </w:r>
      <w:r w:rsidRPr="00EF43AF">
        <w:t> years ha</w:t>
      </w:r>
      <w:r>
        <w:t>ve</w:t>
      </w:r>
      <w:r w:rsidRPr="00EF43AF">
        <w:t xml:space="preserve"> the highest mean and P90 </w:t>
      </w:r>
      <w:r>
        <w:t xml:space="preserve">dietary exposures to </w:t>
      </w:r>
      <w:r w:rsidR="004C28B5">
        <w:t>j</w:t>
      </w:r>
      <w:r w:rsidR="005F7B7D">
        <w:t>elly mushroom glycolipids</w:t>
      </w:r>
      <w:r>
        <w:t xml:space="preserve"> on a body weight basis. Their mean consumer dietary exposures range from </w:t>
      </w:r>
      <w:r>
        <w:rPr>
          <w:lang w:eastAsia="en-AU"/>
        </w:rPr>
        <w:t>0.34 – 0.67</w:t>
      </w:r>
      <w:r w:rsidR="0018726B">
        <w:rPr>
          <w:lang w:eastAsia="en-AU"/>
        </w:rPr>
        <w:t> </w:t>
      </w:r>
      <w:r>
        <w:rPr>
          <w:lang w:eastAsia="en-AU"/>
        </w:rPr>
        <w:t>mg/kg bw/day and</w:t>
      </w:r>
      <w:r w:rsidRPr="00FB5C3D">
        <w:t xml:space="preserve"> </w:t>
      </w:r>
      <w:r>
        <w:t xml:space="preserve">P90 </w:t>
      </w:r>
      <w:r>
        <w:rPr>
          <w:lang w:eastAsia="en-AU"/>
        </w:rPr>
        <w:t>exposures from 0.86 – 1.5</w:t>
      </w:r>
      <w:r w:rsidR="0018726B">
        <w:rPr>
          <w:lang w:eastAsia="en-AU"/>
        </w:rPr>
        <w:t> </w:t>
      </w:r>
      <w:r>
        <w:rPr>
          <w:lang w:eastAsia="en-AU"/>
        </w:rPr>
        <w:t>mg/kg bw/day, depending on the scenario.</w:t>
      </w:r>
    </w:p>
    <w:p w14:paraId="7AD9569F" w14:textId="77777777" w:rsidR="00E224B4" w:rsidRDefault="00E224B4" w:rsidP="001C59CB">
      <w:pPr>
        <w:rPr>
          <w:lang w:eastAsia="en-AU"/>
        </w:rPr>
      </w:pPr>
    </w:p>
    <w:p w14:paraId="18E13539" w14:textId="2286F037" w:rsidR="001C59CB" w:rsidRDefault="001C59CB" w:rsidP="001C59CB">
      <w:pPr>
        <w:rPr>
          <w:lang w:eastAsia="en-AU"/>
        </w:rPr>
      </w:pPr>
      <w:r>
        <w:rPr>
          <w:lang w:eastAsia="en-AU"/>
        </w:rPr>
        <w:t xml:space="preserve">The consumer dietary </w:t>
      </w:r>
      <w:r w:rsidRPr="00B3630A">
        <w:t xml:space="preserve">exposures to </w:t>
      </w:r>
      <w:r w:rsidR="004C28B5">
        <w:t>j</w:t>
      </w:r>
      <w:r w:rsidR="005F7B7D">
        <w:t>elly mushroom glycolipids</w:t>
      </w:r>
      <w:r w:rsidRPr="00B3630A">
        <w:t xml:space="preserve"> for Australian</w:t>
      </w:r>
      <w:r>
        <w:t>s aged 2 years and above</w:t>
      </w:r>
      <w:r w:rsidRPr="00B3630A">
        <w:t xml:space="preserve"> </w:t>
      </w:r>
      <w:r w:rsidR="0018726B">
        <w:t>(mean: 0.46 mg/kg bw/day; P90: 1.0 </w:t>
      </w:r>
      <w:r>
        <w:t xml:space="preserve">mg/kg bw/day) </w:t>
      </w:r>
      <w:r w:rsidRPr="00B3630A">
        <w:t>and New Zealand</w:t>
      </w:r>
      <w:r>
        <w:t>er aged 15 years and above</w:t>
      </w:r>
      <w:r w:rsidRPr="00B3630A">
        <w:t xml:space="preserve"> </w:t>
      </w:r>
      <w:r w:rsidR="0018726B">
        <w:t>(mean: 0.38 </w:t>
      </w:r>
      <w:r>
        <w:t>mg/kg bw/day; P90: 0.87</w:t>
      </w:r>
      <w:r w:rsidR="0018726B">
        <w:t> </w:t>
      </w:r>
      <w:r>
        <w:t xml:space="preserve">mg/kg bw/day) </w:t>
      </w:r>
      <w:r>
        <w:rPr>
          <w:lang w:eastAsia="en-AU"/>
        </w:rPr>
        <w:t>are similar to those estimated for American consumers (mean: 0.51</w:t>
      </w:r>
      <w:r w:rsidR="0018726B">
        <w:rPr>
          <w:lang w:eastAsia="en-AU"/>
        </w:rPr>
        <w:t> </w:t>
      </w:r>
      <w:r>
        <w:rPr>
          <w:lang w:eastAsia="en-AU"/>
        </w:rPr>
        <w:t>mg/kg bw/day; P90: 1.09</w:t>
      </w:r>
      <w:r w:rsidR="0018726B">
        <w:rPr>
          <w:lang w:eastAsia="en-AU"/>
        </w:rPr>
        <w:t> </w:t>
      </w:r>
      <w:r>
        <w:rPr>
          <w:lang w:eastAsia="en-AU"/>
        </w:rPr>
        <w:t xml:space="preserve">mg/kg bw/day) in the US GRAS </w:t>
      </w:r>
      <w:r w:rsidR="004100CC">
        <w:rPr>
          <w:lang w:eastAsia="en-AU"/>
        </w:rPr>
        <w:t xml:space="preserve">notification </w:t>
      </w:r>
      <w:r w:rsidR="0018726B">
        <w:rPr>
          <w:lang w:eastAsia="en-AU"/>
        </w:rPr>
        <w:t>(US FDA, 2017).</w:t>
      </w:r>
    </w:p>
    <w:p w14:paraId="616F8BE7" w14:textId="77777777" w:rsidR="0018726B" w:rsidRDefault="0018726B" w:rsidP="001C59CB">
      <w:pPr>
        <w:rPr>
          <w:lang w:eastAsia="en-AU"/>
        </w:rPr>
      </w:pPr>
    </w:p>
    <w:p w14:paraId="218A8480" w14:textId="7BBB756F" w:rsidR="001C59CB" w:rsidRDefault="001C59CB" w:rsidP="0018726B">
      <w:r>
        <w:t xml:space="preserve">Across all population groups assessed and </w:t>
      </w:r>
      <w:r w:rsidR="00360EB2">
        <w:t xml:space="preserve">all </w:t>
      </w:r>
      <w:r>
        <w:t xml:space="preserve">scenarios, the </w:t>
      </w:r>
      <w:r w:rsidR="0018726B">
        <w:t xml:space="preserve">top two </w:t>
      </w:r>
      <w:r>
        <w:t xml:space="preserve">major contributing foods to </w:t>
      </w:r>
      <w:r w:rsidR="004C28B5">
        <w:t>j</w:t>
      </w:r>
      <w:r w:rsidR="005F7B7D">
        <w:t>elly mushroom glycolipids</w:t>
      </w:r>
      <w:r w:rsidR="0018726B">
        <w:t xml:space="preserve"> dietary exposures were 1) </w:t>
      </w:r>
      <w:r w:rsidRPr="00D03652">
        <w:t>Water based flavoured drinks, excluding powders, ice</w:t>
      </w:r>
      <w:r>
        <w:t>d</w:t>
      </w:r>
      <w:r w:rsidRPr="00D03652">
        <w:t xml:space="preserve"> teas, brewed soft drinks</w:t>
      </w:r>
      <w:r w:rsidR="0018726B">
        <w:t xml:space="preserve">; and 2) </w:t>
      </w:r>
      <w:r w:rsidRPr="00D03652">
        <w:t xml:space="preserve">Fruit </w:t>
      </w:r>
      <w:r>
        <w:t>and</w:t>
      </w:r>
      <w:r w:rsidRPr="00D03652">
        <w:t xml:space="preserve"> vegetable juices</w:t>
      </w:r>
      <w:r w:rsidR="0018726B">
        <w:t>.</w:t>
      </w:r>
    </w:p>
    <w:p w14:paraId="46572A02" w14:textId="1B5C19D3" w:rsidR="001C59CB" w:rsidRDefault="001C59CB" w:rsidP="0018726B"/>
    <w:p w14:paraId="18F3789A" w14:textId="3EFD6570" w:rsidR="001C59CB" w:rsidRPr="00B55752" w:rsidRDefault="001C59CB" w:rsidP="00C156A4">
      <w:r>
        <w:rPr>
          <w:lang w:eastAsia="en-AU"/>
        </w:rPr>
        <w:t xml:space="preserve">The mean and P90 estimated dietary exposures for all scenarios and population groups </w:t>
      </w:r>
      <w:r w:rsidR="00360EB2">
        <w:rPr>
          <w:lang w:eastAsia="en-AU"/>
        </w:rPr>
        <w:t xml:space="preserve">assessed </w:t>
      </w:r>
      <w:r>
        <w:rPr>
          <w:lang w:eastAsia="en-AU"/>
        </w:rPr>
        <w:t xml:space="preserve">are below the ADI of </w:t>
      </w:r>
      <w:r w:rsidR="00622C8F">
        <w:rPr>
          <w:lang w:eastAsia="en-AU"/>
        </w:rPr>
        <w:t>2.0</w:t>
      </w:r>
      <w:r w:rsidR="00873579">
        <w:rPr>
          <w:lang w:eastAsia="en-AU"/>
        </w:rPr>
        <w:t> </w:t>
      </w:r>
      <w:r>
        <w:rPr>
          <w:lang w:eastAsia="en-AU"/>
        </w:rPr>
        <w:t xml:space="preserve">mg/kg bw/day identified by FSANZ, with the mean dietary exposures ranging </w:t>
      </w:r>
      <w:r w:rsidR="00360EB2">
        <w:rPr>
          <w:lang w:eastAsia="en-AU"/>
        </w:rPr>
        <w:t xml:space="preserve">between </w:t>
      </w:r>
      <w:r w:rsidR="00E224B4">
        <w:rPr>
          <w:lang w:eastAsia="en-AU"/>
        </w:rPr>
        <w:t>9</w:t>
      </w:r>
      <w:r>
        <w:rPr>
          <w:lang w:eastAsia="en-AU"/>
        </w:rPr>
        <w:t>-</w:t>
      </w:r>
      <w:r w:rsidR="00622C8F">
        <w:rPr>
          <w:lang w:eastAsia="en-AU"/>
        </w:rPr>
        <w:t>35</w:t>
      </w:r>
      <w:r>
        <w:rPr>
          <w:lang w:eastAsia="en-AU"/>
        </w:rPr>
        <w:t xml:space="preserve">% of the ADI and P90 dietary exposures ranging </w:t>
      </w:r>
      <w:r w:rsidR="00360EB2">
        <w:rPr>
          <w:lang w:eastAsia="en-AU"/>
        </w:rPr>
        <w:t xml:space="preserve">between </w:t>
      </w:r>
      <w:r>
        <w:rPr>
          <w:lang w:eastAsia="en-AU"/>
        </w:rPr>
        <w:t>20</w:t>
      </w:r>
      <w:r>
        <w:rPr>
          <w:lang w:eastAsia="en-AU"/>
        </w:rPr>
        <w:fldChar w:fldCharType="begin" w:fldLock="1"/>
      </w:r>
      <w:r>
        <w:rPr>
          <w:lang w:eastAsia="en-AU"/>
        </w:rPr>
        <w:instrText xml:space="preserve"> DOCPROPERTY bjHeaderBothDocProperty \* MERGEFORMAT </w:instrText>
      </w:r>
      <w:r>
        <w:rPr>
          <w:lang w:eastAsia="en-AU"/>
        </w:rPr>
        <w:fldChar w:fldCharType="end"/>
      </w:r>
      <w:r>
        <w:rPr>
          <w:lang w:eastAsia="en-AU"/>
        </w:rPr>
        <w:t>-</w:t>
      </w:r>
      <w:r w:rsidR="00622C8F">
        <w:rPr>
          <w:lang w:eastAsia="en-AU"/>
        </w:rPr>
        <w:t>75</w:t>
      </w:r>
      <w:r>
        <w:rPr>
          <w:lang w:eastAsia="en-AU"/>
        </w:rPr>
        <w:t xml:space="preserve">% of the ADI. </w:t>
      </w:r>
    </w:p>
    <w:p w14:paraId="4F6678AC" w14:textId="77777777" w:rsidR="001C59CB" w:rsidRPr="00815226" w:rsidRDefault="001C59CB" w:rsidP="001C59CB">
      <w:r>
        <w:rPr>
          <w:lang w:eastAsia="en-AU"/>
        </w:rPr>
        <w:br w:type="page"/>
      </w:r>
    </w:p>
    <w:p w14:paraId="4FC440E8" w14:textId="5E2B7ED0" w:rsidR="009104E0" w:rsidRDefault="001A57F4" w:rsidP="009104E0">
      <w:pPr>
        <w:pStyle w:val="Heading1"/>
      </w:pPr>
      <w:bookmarkStart w:id="180" w:name="_Toc43217075"/>
      <w:bookmarkStart w:id="181" w:name="_Toc44401560"/>
      <w:bookmarkStart w:id="182" w:name="_Toc45284312"/>
      <w:bookmarkStart w:id="183" w:name="_Toc46929433"/>
      <w:r>
        <w:t>6</w:t>
      </w:r>
      <w:r w:rsidR="009104E0">
        <w:t xml:space="preserve"> </w:t>
      </w:r>
      <w:r w:rsidR="009104E0">
        <w:tab/>
        <w:t>References</w:t>
      </w:r>
      <w:bookmarkEnd w:id="180"/>
      <w:bookmarkEnd w:id="181"/>
      <w:bookmarkEnd w:id="182"/>
      <w:bookmarkEnd w:id="183"/>
    </w:p>
    <w:p w14:paraId="4F183DCD" w14:textId="3040A5B9" w:rsidR="009104E0" w:rsidRPr="009104E0" w:rsidRDefault="003C7857" w:rsidP="009104E0">
      <w:pPr>
        <w:rPr>
          <w:lang w:bidi="ar-SA"/>
        </w:rPr>
      </w:pPr>
      <w:r>
        <w:rPr>
          <w:lang w:bidi="ar-SA"/>
        </w:rPr>
        <w:t xml:space="preserve">Ao </w:t>
      </w:r>
      <w:r w:rsidR="00AD5F66">
        <w:rPr>
          <w:lang w:bidi="ar-SA"/>
        </w:rPr>
        <w:t>T, Deb CR and Khruomo N (</w:t>
      </w:r>
      <w:r>
        <w:rPr>
          <w:lang w:bidi="ar-SA"/>
        </w:rPr>
        <w:t>2016</w:t>
      </w:r>
      <w:r w:rsidR="00AD5F66">
        <w:rPr>
          <w:lang w:bidi="ar-SA"/>
        </w:rPr>
        <w:t>). Wild edible mushrooms of Nagaland, India: A potential food resource. Journal of Experimental Biology and Agricultural Sciences</w:t>
      </w:r>
      <w:r w:rsidR="003305A2">
        <w:rPr>
          <w:lang w:bidi="ar-SA"/>
        </w:rPr>
        <w:t xml:space="preserve"> </w:t>
      </w:r>
      <w:r w:rsidR="003305A2" w:rsidRPr="003305A2">
        <w:rPr>
          <w:lang w:bidi="ar-SA"/>
        </w:rPr>
        <w:t>DOI: 10.18006/2015.4(1).59.65</w:t>
      </w:r>
      <w:r w:rsidR="003305A2">
        <w:rPr>
          <w:lang w:bidi="ar-SA"/>
        </w:rPr>
        <w:t xml:space="preserve"> </w:t>
      </w:r>
    </w:p>
    <w:p w14:paraId="30B5C1E8" w14:textId="77777777" w:rsidR="003C7857" w:rsidRDefault="003C7857" w:rsidP="007A5872">
      <w:pPr>
        <w:rPr>
          <w:lang w:bidi="ar-SA"/>
        </w:rPr>
      </w:pPr>
    </w:p>
    <w:p w14:paraId="71B86B80" w14:textId="77777777" w:rsidR="00953B5B" w:rsidRPr="002F200C" w:rsidRDefault="00953B5B" w:rsidP="00953B5B">
      <w:pPr>
        <w:spacing w:after="240"/>
        <w:rPr>
          <w:rFonts w:eastAsia="Calibri"/>
        </w:rPr>
      </w:pPr>
      <w:r w:rsidRPr="002F200C">
        <w:rPr>
          <w:rFonts w:eastAsia="Calibri"/>
        </w:rPr>
        <w:t xml:space="preserve">ABS (2014) </w:t>
      </w:r>
      <w:hyperlink r:id="rId39" w:history="1">
        <w:r w:rsidRPr="00B75459">
          <w:rPr>
            <w:rStyle w:val="Hyperlink"/>
            <w:rFonts w:eastAsia="Calibri"/>
          </w:rPr>
          <w:t>National Nutrition and Physical Activity Survey</w:t>
        </w:r>
      </w:hyperlink>
      <w:r w:rsidRPr="002F200C">
        <w:rPr>
          <w:rFonts w:eastAsia="Calibri"/>
        </w:rPr>
        <w:t xml:space="preserve">, 2011–12, Basic CURF. Australian Government, Canberra. </w:t>
      </w:r>
      <w:r>
        <w:rPr>
          <w:rFonts w:eastAsia="Calibri"/>
        </w:rPr>
        <w:t xml:space="preserve">Accessed 2 July 2108. </w:t>
      </w:r>
      <w:hyperlink r:id="rId40" w:history="1">
        <w:r w:rsidRPr="002F200C">
          <w:rPr>
            <w:rFonts w:eastAsia="Calibri"/>
            <w:color w:val="0000FF"/>
            <w:u w:val="single"/>
          </w:rPr>
          <w:t>http://www.abs.gov.au/AUSSTATS/abs@.nsf/Latestproducts/4324.0.55.002Main%20Features652011-12?opendocument&amp;tabname=Summary&amp;prodno=4324.0.55.002&amp;issue=2011-12&amp;num=&amp;view</w:t>
        </w:r>
      </w:hyperlink>
      <w:r w:rsidRPr="002F200C">
        <w:rPr>
          <w:rFonts w:eastAsia="Calibri"/>
        </w:rPr>
        <w:t>=</w:t>
      </w:r>
    </w:p>
    <w:p w14:paraId="5C9D285A" w14:textId="223A15DF" w:rsidR="00E5412E" w:rsidRDefault="00E5412E" w:rsidP="007A5872">
      <w:pPr>
        <w:rPr>
          <w:lang w:bidi="ar-SA"/>
        </w:rPr>
      </w:pPr>
      <w:r>
        <w:rPr>
          <w:lang w:bidi="ar-SA"/>
        </w:rPr>
        <w:t xml:space="preserve">Bitzer, J (2016). Certificate of analysis. IMD Natural Solutions. Germany </w:t>
      </w:r>
    </w:p>
    <w:p w14:paraId="4C3EF8B3" w14:textId="77777777" w:rsidR="00E5412E" w:rsidRDefault="00E5412E" w:rsidP="007A5872">
      <w:pPr>
        <w:rPr>
          <w:lang w:bidi="ar-SA"/>
        </w:rPr>
      </w:pPr>
    </w:p>
    <w:p w14:paraId="081C7A0C" w14:textId="19FAF969" w:rsidR="007A5872" w:rsidRPr="007A5872" w:rsidRDefault="00F92C57" w:rsidP="007A5872">
      <w:pPr>
        <w:rPr>
          <w:lang w:bidi="ar-SA"/>
        </w:rPr>
      </w:pPr>
      <w:r>
        <w:rPr>
          <w:lang w:bidi="ar-SA"/>
        </w:rPr>
        <w:t>Bitzer, J, Henkel T, Nikiforov AI, Rihner MO and Thomas JA (</w:t>
      </w:r>
      <w:r w:rsidR="0015213D">
        <w:rPr>
          <w:lang w:bidi="ar-SA"/>
        </w:rPr>
        <w:t>2017a</w:t>
      </w:r>
      <w:r>
        <w:rPr>
          <w:lang w:bidi="ar-SA"/>
        </w:rPr>
        <w:t>). Pharmacokinetics, excretion balance, and tissue distribution of [14C]-labeled glycolipids and long chain fatty acids from Dacryopinax spathularia in rats. Food and Chemical Toxicology 120: 430-438</w:t>
      </w:r>
    </w:p>
    <w:p w14:paraId="3E90946F" w14:textId="77777777" w:rsidR="0015213D" w:rsidRDefault="0015213D" w:rsidP="00690206"/>
    <w:p w14:paraId="7168E9C2" w14:textId="6A721779" w:rsidR="0015213D" w:rsidRDefault="00F67A5A" w:rsidP="00690206">
      <w:r>
        <w:t xml:space="preserve">Bitzer </w:t>
      </w:r>
      <w:r w:rsidR="007D0B54">
        <w:t>J, Henkel T, Nikiforov AI, Rihner MO and Leuschner J (</w:t>
      </w:r>
      <w:r>
        <w:t>2017b</w:t>
      </w:r>
      <w:r w:rsidR="007D0B54">
        <w:t>). A 90-day oral toxicity study of glycolipids from Dacryopinax spathularia in CD</w:t>
      </w:r>
      <w:r w:rsidR="007D0B54">
        <w:rPr>
          <w:rFonts w:cs="Arial"/>
        </w:rPr>
        <w:t>®</w:t>
      </w:r>
      <w:r w:rsidR="007D0B54">
        <w:t xml:space="preserve"> rats. Food and Chemical Toxicoloogy 109(Pt 1): 569-584</w:t>
      </w:r>
    </w:p>
    <w:p w14:paraId="014D2E43" w14:textId="4BBBC48A" w:rsidR="00F92C57" w:rsidRDefault="00F92C57" w:rsidP="00690206"/>
    <w:p w14:paraId="7D6FAD22" w14:textId="43EB07D0" w:rsidR="00F92C57" w:rsidRDefault="007D0B54" w:rsidP="00690206">
      <w:r>
        <w:t>Bitzer J, Henkel T, Nikiforov AI, Rihner MO and Henderson KA (</w:t>
      </w:r>
      <w:r w:rsidR="00F92C57">
        <w:t>2017c</w:t>
      </w:r>
      <w:r>
        <w:t>). A 90-day oral toxicity study of glycolipids from Dacryopinax spathularia in Beagle dogs. Food and Chemical Toxicology 109(Pt 1): 544-551</w:t>
      </w:r>
    </w:p>
    <w:p w14:paraId="76B74B5E" w14:textId="605E6BF3" w:rsidR="00F67A5A" w:rsidRDefault="00F67A5A" w:rsidP="00690206"/>
    <w:p w14:paraId="21602FB5" w14:textId="0F0846F7" w:rsidR="00F67A5A" w:rsidRDefault="00F67A5A" w:rsidP="00690206">
      <w:r>
        <w:t xml:space="preserve">Bitzer </w:t>
      </w:r>
      <w:r w:rsidR="007D0B54">
        <w:t>J, Henkel T, Nikiforov AI, Rihner MO and Herberth MT (</w:t>
      </w:r>
      <w:r>
        <w:t>2018</w:t>
      </w:r>
      <w:r w:rsidR="007D0B54">
        <w:t>). Developmental and reproduction toxicity studies of glycolipids from Dacryopinax spathularia. Food and Chemical Toxicology 120: 430-438</w:t>
      </w:r>
    </w:p>
    <w:p w14:paraId="56CAB49E" w14:textId="2E6C8FC2" w:rsidR="00B2305E" w:rsidRDefault="00B2305E" w:rsidP="00690206"/>
    <w:p w14:paraId="15D3CBE9" w14:textId="313CB0BC" w:rsidR="00B2305E" w:rsidRDefault="00B2305E" w:rsidP="00690206">
      <w:r>
        <w:t>Boa 2004</w:t>
      </w:r>
      <w:r w:rsidR="00902785">
        <w:t>. Wild edible fungi. A global overview of their use and importance to people. Food and Agriculture Organization of the United Nations, Rome, 2004.</w:t>
      </w:r>
    </w:p>
    <w:p w14:paraId="2896E45A" w14:textId="77777777" w:rsidR="00F67A5A" w:rsidRDefault="00F67A5A" w:rsidP="00690206"/>
    <w:p w14:paraId="0564992D" w14:textId="01D0CA03" w:rsidR="009104E0" w:rsidRDefault="009104E0" w:rsidP="00690206">
      <w:r w:rsidRPr="009104E0">
        <w:t xml:space="preserve">Degreef </w:t>
      </w:r>
      <w:r w:rsidR="00055C1B">
        <w:t xml:space="preserve">J, Demuynck L, Mukandera A, Nyirandayambaje G, Nzigidahera B and De Kesel A (2016) Wild edible mushrooms, a valuable resource for food security and rural development in Burundi and Rwanda. </w:t>
      </w:r>
      <w:r w:rsidR="00E9603C">
        <w:t>Biotechnology, Agronomy, Society and Environment 20: 441-452</w:t>
      </w:r>
      <w:r>
        <w:t xml:space="preserve"> </w:t>
      </w:r>
    </w:p>
    <w:p w14:paraId="32F71D8F" w14:textId="60454DCA" w:rsidR="009104E0" w:rsidRDefault="009104E0" w:rsidP="00690206"/>
    <w:p w14:paraId="2C623336" w14:textId="77777777" w:rsidR="00953B5B" w:rsidRDefault="00953B5B" w:rsidP="00953B5B">
      <w:pPr>
        <w:spacing w:after="240"/>
        <w:rPr>
          <w:rFonts w:eastAsia="Calibri"/>
        </w:rPr>
      </w:pPr>
      <w:r w:rsidRPr="002F200C">
        <w:rPr>
          <w:rFonts w:eastAsia="Calibri"/>
        </w:rPr>
        <w:t xml:space="preserve">FSANZ (2009) </w:t>
      </w:r>
      <w:hyperlink r:id="rId41" w:history="1">
        <w:r w:rsidRPr="00B75459">
          <w:rPr>
            <w:rStyle w:val="Hyperlink"/>
            <w:rFonts w:eastAsia="Calibri"/>
          </w:rPr>
          <w:t>Principles and Practices of Dietary Exposure Assessment for Food Regulatory Purposes</w:t>
        </w:r>
      </w:hyperlink>
      <w:r w:rsidRPr="002F200C">
        <w:rPr>
          <w:rFonts w:eastAsia="Calibri"/>
        </w:rPr>
        <w:t xml:space="preserve">. Report prepared by Food Standards Australia New Zealand, Canberra. </w:t>
      </w:r>
      <w:hyperlink r:id="rId42" w:history="1">
        <w:r>
          <w:rPr>
            <w:rStyle w:val="Hyperlink"/>
          </w:rPr>
          <w:t>http://www.foodstandards.gov.au/science/exposure/documents/Principles%20_%20practices%20exposure%20assessment%202009.pdf</w:t>
        </w:r>
      </w:hyperlink>
      <w:r>
        <w:rPr>
          <w:rStyle w:val="Hyperlink"/>
        </w:rPr>
        <w:fldChar w:fldCharType="begin" w:fldLock="1"/>
      </w:r>
      <w:r>
        <w:rPr>
          <w:rStyle w:val="Hyperlink"/>
        </w:rPr>
        <w:instrText xml:space="preserve"> DOCPROPERTY bjHeaderBothDocProperty \* MERGEFORMAT </w:instrText>
      </w:r>
      <w:r>
        <w:rPr>
          <w:rStyle w:val="Hyperlink"/>
        </w:rPr>
        <w:fldChar w:fldCharType="end"/>
      </w:r>
    </w:p>
    <w:p w14:paraId="6C55DC07" w14:textId="3ABC37C3" w:rsidR="004513EF" w:rsidRDefault="009104E0" w:rsidP="00690206">
      <w:r>
        <w:t xml:space="preserve">Gamboa-Trujillo </w:t>
      </w:r>
      <w:r w:rsidR="004513EF">
        <w:t>P, Wartchow F, Cer</w:t>
      </w:r>
      <w:r w:rsidR="004513EF">
        <w:rPr>
          <w:rFonts w:cs="Arial"/>
        </w:rPr>
        <w:t>ó</w:t>
      </w:r>
      <w:r w:rsidR="004513EF">
        <w:t>n-Martinez C, Andi D, Uwinjin P, Grefa G, Entza M, Chimbo E, Chimbo J, Payaguaje J, Piyaguaje N, Payaguaje D, Licuy V, L</w:t>
      </w:r>
      <w:r w:rsidR="004513EF">
        <w:rPr>
          <w:rFonts w:cs="Arial"/>
        </w:rPr>
        <w:t>ó</w:t>
      </w:r>
      <w:r w:rsidR="004513EF">
        <w:t>pez V, Mendua M, Criollo M, Jati M, De La Cruz S, Calazac</w:t>
      </w:r>
      <w:r w:rsidR="004513EF">
        <w:rPr>
          <w:rFonts w:cs="Arial"/>
        </w:rPr>
        <w:t>ó</w:t>
      </w:r>
      <w:r w:rsidR="004513EF">
        <w:t>n M, Flores S, Aules E, Aigaje C, De Aro M, Morales A, Murillo Y, Farinango G and Gibertoni T (2019). Edible Mushrooms of Ecuador: consumption, myths and implications for conservation. Ethnobotany Research and Applications 18</w:t>
      </w:r>
      <w:r w:rsidR="00E93B58">
        <w:t xml:space="preserve"> </w:t>
      </w:r>
      <w:hyperlink r:id="rId43" w:history="1">
        <w:r w:rsidR="00E93B58" w:rsidRPr="005F14C0">
          <w:rPr>
            <w:rStyle w:val="Hyperlink"/>
          </w:rPr>
          <w:t>http://dx.doi.org/10.32859/era.18.38.1-15</w:t>
        </w:r>
      </w:hyperlink>
      <w:r w:rsidR="00E93B58">
        <w:t xml:space="preserve"> </w:t>
      </w:r>
    </w:p>
    <w:p w14:paraId="3ED0A6A8" w14:textId="184E477E" w:rsidR="00E41F3A" w:rsidRDefault="00E41F3A" w:rsidP="00690206"/>
    <w:p w14:paraId="0E1961C0" w14:textId="12F39DFE" w:rsidR="00E41F3A" w:rsidRDefault="00E41F3A" w:rsidP="00690206">
      <w:r>
        <w:t xml:space="preserve">Jappe </w:t>
      </w:r>
      <w:r w:rsidR="00F364A6">
        <w:t>U, Schwager C, Schromm AB, Rold</w:t>
      </w:r>
      <w:r w:rsidR="00F364A6">
        <w:rPr>
          <w:rFonts w:cs="Arial"/>
        </w:rPr>
        <w:t>á</w:t>
      </w:r>
      <w:r w:rsidR="00F364A6">
        <w:t xml:space="preserve">n NG, Stein K, Heine H and Duda KA (2019). Lipophilic allergens, different modes of allergen-lipid interaction and their impact on asthma and allergy. Frontiers in Immunology 10:22 doi: 10.3389/fimmu.2019.00122 </w:t>
      </w:r>
    </w:p>
    <w:p w14:paraId="4C9CDF9A" w14:textId="0CA937E5" w:rsidR="009104E0" w:rsidRDefault="009104E0" w:rsidP="00690206"/>
    <w:p w14:paraId="6B6E5D6C" w14:textId="7DAE71A5" w:rsidR="00CE2229" w:rsidRDefault="00CE2229" w:rsidP="00690206">
      <w:r>
        <w:t xml:space="preserve">Kulakovskaya TV and </w:t>
      </w:r>
      <w:r w:rsidRPr="00CE2229">
        <w:t>Skryabin</w:t>
      </w:r>
      <w:r>
        <w:t xml:space="preserve"> GK (2003). </w:t>
      </w:r>
      <w:r w:rsidRPr="00CE2229">
        <w:t>ATP leak</w:t>
      </w:r>
      <w:r>
        <w:t xml:space="preserve">age from yeast cells treated by </w:t>
      </w:r>
      <w:r w:rsidRPr="00CE2229">
        <w:t xml:space="preserve">extracellular glycolipids of </w:t>
      </w:r>
      <w:r w:rsidRPr="00CE2229">
        <w:rPr>
          <w:i/>
        </w:rPr>
        <w:t>Pseudozyma</w:t>
      </w:r>
      <w:r w:rsidRPr="00CE2229">
        <w:t xml:space="preserve"> </w:t>
      </w:r>
      <w:r w:rsidRPr="00CE2229">
        <w:rPr>
          <w:i/>
        </w:rPr>
        <w:t>fusiformata</w:t>
      </w:r>
      <w:r>
        <w:t xml:space="preserve">. </w:t>
      </w:r>
      <w:r w:rsidRPr="00CE2229">
        <w:t>FEMS yeast research</w:t>
      </w:r>
      <w:r>
        <w:t xml:space="preserve"> 3:401-404</w:t>
      </w:r>
    </w:p>
    <w:p w14:paraId="55F98614" w14:textId="77777777" w:rsidR="00CE2229" w:rsidRDefault="00CE2229" w:rsidP="00690206"/>
    <w:p w14:paraId="52D1F254" w14:textId="6D14E747" w:rsidR="009104E0" w:rsidRDefault="009104E0" w:rsidP="00690206">
      <w:r>
        <w:t xml:space="preserve">Kumar </w:t>
      </w:r>
      <w:r w:rsidR="009668CA">
        <w:t>A, Ali S, Lal SB and Sinha MP (2018). Mycochemical screening and determination of nutritive potency and antioxidant activity of edible macrofungi Dacryopinax spathularia (Schwein) and Schizophyllum commune (Fries). World Journal of Pharmaceutical Research 7: 1311-1321</w:t>
      </w:r>
    </w:p>
    <w:p w14:paraId="327FB6EA" w14:textId="28B61B7A" w:rsidR="009104E0" w:rsidRDefault="009104E0" w:rsidP="00690206"/>
    <w:p w14:paraId="6D48D330" w14:textId="04E73A1D" w:rsidR="009104E0" w:rsidRDefault="009104E0" w:rsidP="00690206">
      <w:r>
        <w:t xml:space="preserve">Kumar </w:t>
      </w:r>
      <w:r w:rsidR="007F25A3">
        <w:t>, Kumar M and Sinha MP (</w:t>
      </w:r>
      <w:r>
        <w:t>2019</w:t>
      </w:r>
      <w:r w:rsidR="007F25A3">
        <w:t>). Hepatoprotective efficacy of edible macrofungi Dacryopinax spathularia (Schwein) and Schizophyllum commune (Fries) against Carbon tetrachloride induced hepatotoxicity in albino Wistar rats</w:t>
      </w:r>
      <w:r w:rsidR="002C421C">
        <w:t xml:space="preserve">. Applied and Natural Science Foundation 11. Doi: </w:t>
      </w:r>
      <w:hyperlink r:id="rId44" w:history="1">
        <w:r w:rsidR="002C421C" w:rsidRPr="005F14C0">
          <w:rPr>
            <w:rStyle w:val="Hyperlink"/>
          </w:rPr>
          <w:t>https://doi.org/10.31018/jans.v11i1.1959</w:t>
        </w:r>
      </w:hyperlink>
      <w:r w:rsidR="002C421C">
        <w:t xml:space="preserve"> </w:t>
      </w:r>
    </w:p>
    <w:p w14:paraId="0C427998" w14:textId="58E15323" w:rsidR="00924D28" w:rsidRDefault="00924D28" w:rsidP="00690206"/>
    <w:p w14:paraId="120FFCEA" w14:textId="3060C74A" w:rsidR="00752AB9" w:rsidRDefault="00752AB9" w:rsidP="00752AB9">
      <w:r>
        <w:t>Lanxess (2018). Summary o</w:t>
      </w:r>
      <w:r w:rsidR="00E5412E">
        <w:t>f efficacy data</w:t>
      </w:r>
      <w:r>
        <w:t xml:space="preserve">. </w:t>
      </w:r>
      <w:r w:rsidRPr="00752AB9">
        <w:t>IMD Natural Solutions GmbH</w:t>
      </w:r>
      <w:r>
        <w:t>,</w:t>
      </w:r>
      <w:r w:rsidRPr="00752AB9">
        <w:t xml:space="preserve"> </w:t>
      </w:r>
      <w:r>
        <w:t>Germany</w:t>
      </w:r>
      <w:r w:rsidRPr="00752AB9">
        <w:t xml:space="preserve"> </w:t>
      </w:r>
    </w:p>
    <w:p w14:paraId="149A3AA8" w14:textId="77777777" w:rsidR="00752AB9" w:rsidRDefault="00752AB9" w:rsidP="00752AB9"/>
    <w:p w14:paraId="0BA0B612" w14:textId="324D7A28" w:rsidR="00752AB9" w:rsidRDefault="00752AB9" w:rsidP="00752AB9">
      <w:r>
        <w:t xml:space="preserve">Lanxess (2018a). Stability of Jelly Mushroom Glycolipids (AM-1) in Beverage Applications. </w:t>
      </w:r>
      <w:r w:rsidRPr="00752AB9">
        <w:t>IMD Natural Solutions GmbH</w:t>
      </w:r>
      <w:r>
        <w:t>,</w:t>
      </w:r>
      <w:r w:rsidRPr="00752AB9">
        <w:t xml:space="preserve"> </w:t>
      </w:r>
      <w:r>
        <w:t>Germany</w:t>
      </w:r>
    </w:p>
    <w:p w14:paraId="11BC476E" w14:textId="2AA736E8" w:rsidR="00E5412E" w:rsidRDefault="00E5412E" w:rsidP="00690206"/>
    <w:p w14:paraId="573F57FB" w14:textId="41A5D3D4" w:rsidR="00924D28" w:rsidRDefault="00924D28" w:rsidP="00690206">
      <w:r>
        <w:t xml:space="preserve">Lee </w:t>
      </w:r>
      <w:r w:rsidR="0050667F">
        <w:t>SS, Chang YS and Noraswati MNR (</w:t>
      </w:r>
      <w:r>
        <w:t>2009</w:t>
      </w:r>
      <w:r w:rsidR="0050667F">
        <w:t>). Utilization of macrofungi by some indigenous communities for food and medicine in Peninsular Malaysia. Forest Ecology and Management 257: 2062-2065</w:t>
      </w:r>
    </w:p>
    <w:p w14:paraId="788E19FB" w14:textId="4979FCF2" w:rsidR="00924D28" w:rsidRDefault="00924D28" w:rsidP="00690206"/>
    <w:p w14:paraId="2DAA73DE" w14:textId="77777777" w:rsidR="00953B5B" w:rsidRDefault="00953B5B" w:rsidP="00953B5B">
      <w:pPr>
        <w:spacing w:after="240"/>
        <w:rPr>
          <w:rFonts w:eastAsia="Calibri"/>
        </w:rPr>
      </w:pPr>
      <w:bookmarkStart w:id="184" w:name="_CTVL0012ff332508a194e09907cbe06e471996e"/>
      <w:r>
        <w:rPr>
          <w:rFonts w:eastAsia="Calibri"/>
        </w:rPr>
        <w:t xml:space="preserve">Leray, C (2015) Lipids: Nutrition and </w:t>
      </w:r>
      <w:r w:rsidRPr="003904CB">
        <w:rPr>
          <w:rFonts w:eastAsia="Calibri"/>
        </w:rPr>
        <w:t xml:space="preserve">Health: CRC Press, </w:t>
      </w:r>
      <w:r>
        <w:t>Taylor &amp; Francis Group. Boca Raton</w:t>
      </w:r>
      <w:r w:rsidRPr="003904CB">
        <w:rPr>
          <w:rFonts w:eastAsia="Calibri"/>
        </w:rPr>
        <w:t>. pp 154–155</w:t>
      </w:r>
      <w:bookmarkEnd w:id="184"/>
    </w:p>
    <w:p w14:paraId="67E9B0DF" w14:textId="01F5989B" w:rsidR="00924D28" w:rsidRDefault="00924D28" w:rsidP="00690206">
      <w:r>
        <w:t xml:space="preserve">Meuninck </w:t>
      </w:r>
      <w:r w:rsidR="006831A7">
        <w:t>J (</w:t>
      </w:r>
      <w:r>
        <w:t>2017</w:t>
      </w:r>
      <w:r w:rsidR="006831A7">
        <w:t>). Foraging mushrooms Washington: Finding, Identifying and Preparing Edible Wild Mushroo</w:t>
      </w:r>
      <w:r w:rsidR="00980F3F">
        <w:t>ms. Falcon Guides, Guilford, Connecticut, USA.</w:t>
      </w:r>
    </w:p>
    <w:p w14:paraId="20AF5E13" w14:textId="77777777" w:rsidR="009104E0" w:rsidRDefault="009104E0" w:rsidP="00690206"/>
    <w:p w14:paraId="78AA35BB" w14:textId="27CAAFE4" w:rsidR="00252546" w:rsidRPr="00252546" w:rsidRDefault="00252546" w:rsidP="00252546">
      <w:r w:rsidRPr="00252546">
        <w:t>Mimee B, Pelletier R and Bélanger RR (2009) In vitro antibacterial activity and antifungal mode of action of flocculosin, a membrane-active cellobiose lipid. Journal of Applied Microbiology 107:989–996</w:t>
      </w:r>
    </w:p>
    <w:p w14:paraId="2F234ABA" w14:textId="77777777" w:rsidR="00252546" w:rsidRPr="00252546" w:rsidRDefault="00252546" w:rsidP="00252546"/>
    <w:p w14:paraId="53A85CDA" w14:textId="1B28954E" w:rsidR="00252546" w:rsidRDefault="00953B5B" w:rsidP="00252546">
      <w:pPr>
        <w:rPr>
          <w:rFonts w:eastAsia="Calibri"/>
        </w:rPr>
      </w:pPr>
      <w:r w:rsidRPr="00252546">
        <w:t>Ministry of Health (2005) 2002 National Children's Nutrition Survey: National Confidentialised Unit</w:t>
      </w:r>
      <w:r w:rsidRPr="00F35019">
        <w:rPr>
          <w:rFonts w:eastAsia="Calibri"/>
        </w:rPr>
        <w:t xml:space="preserve"> Record File (CURF) User Document. Ministry of Health, Wellington</w:t>
      </w:r>
    </w:p>
    <w:p w14:paraId="7EF49B10" w14:textId="77777777" w:rsidR="00252546" w:rsidRDefault="00252546" w:rsidP="00252546">
      <w:pPr>
        <w:rPr>
          <w:rFonts w:eastAsia="Calibri"/>
        </w:rPr>
      </w:pPr>
    </w:p>
    <w:p w14:paraId="5EB1003D" w14:textId="2FE73350" w:rsidR="00953B5B" w:rsidRPr="00F35019" w:rsidRDefault="00953B5B" w:rsidP="00953B5B">
      <w:pPr>
        <w:spacing w:after="240"/>
        <w:rPr>
          <w:rFonts w:eastAsia="Calibri"/>
        </w:rPr>
      </w:pPr>
      <w:r w:rsidRPr="00F35019">
        <w:rPr>
          <w:rFonts w:eastAsia="Calibri"/>
        </w:rPr>
        <w:t>Ministry of Health (2011a) Methodology report for the 2008/09 New Zealand Adult Nutrition Survey. Ministry of Health, Wellington</w:t>
      </w:r>
    </w:p>
    <w:p w14:paraId="4762FF1F" w14:textId="77777777" w:rsidR="00953B5B" w:rsidRDefault="00953B5B" w:rsidP="00953B5B">
      <w:pPr>
        <w:spacing w:after="240"/>
        <w:rPr>
          <w:rFonts w:eastAsia="Calibri"/>
        </w:rPr>
      </w:pPr>
      <w:r w:rsidRPr="00F35019">
        <w:rPr>
          <w:rFonts w:eastAsia="Calibri"/>
        </w:rPr>
        <w:t>Ministry of Health (2011b) A focus on nutrition: Key findings of the 2008/09 New Zealand Adult Nutrition Survey. Ministry of Health, Wellington</w:t>
      </w:r>
    </w:p>
    <w:p w14:paraId="536095CA" w14:textId="1281AA3F" w:rsidR="00924D28" w:rsidRDefault="009104E0" w:rsidP="00690206">
      <w:r w:rsidRPr="009104E0">
        <w:t xml:space="preserve">Onguene </w:t>
      </w:r>
      <w:r w:rsidR="003C6684">
        <w:t xml:space="preserve">AN </w:t>
      </w:r>
      <w:r w:rsidRPr="009104E0">
        <w:t>and Kuyper</w:t>
      </w:r>
      <w:r w:rsidR="003C6684">
        <w:t xml:space="preserve"> TW</w:t>
      </w:r>
      <w:r w:rsidRPr="009104E0">
        <w:t xml:space="preserve"> </w:t>
      </w:r>
      <w:r w:rsidR="003C6684">
        <w:t>(</w:t>
      </w:r>
      <w:r>
        <w:t>2019</w:t>
      </w:r>
      <w:r w:rsidR="003C6684">
        <w:t>). Wild edible mushrooms depict a dissimilar biogeographical distribution in humid forests of Cameroon. Annual Research and Review in Biology 31:1-13</w:t>
      </w:r>
    </w:p>
    <w:p w14:paraId="3EDD88F5" w14:textId="6A2205DB" w:rsidR="00924D28" w:rsidRDefault="00924D28" w:rsidP="00690206"/>
    <w:p w14:paraId="3944AFB0" w14:textId="27448435" w:rsidR="00C50D2C" w:rsidRDefault="00C50D2C" w:rsidP="00953B5B">
      <w:pPr>
        <w:spacing w:after="240"/>
        <w:rPr>
          <w:lang w:eastAsia="en-AU"/>
        </w:rPr>
      </w:pPr>
      <w:r w:rsidRPr="00C50D2C">
        <w:rPr>
          <w:lang w:eastAsia="en-AU"/>
        </w:rPr>
        <w:t xml:space="preserve">Sotirova </w:t>
      </w:r>
      <w:r>
        <w:rPr>
          <w:lang w:eastAsia="en-AU"/>
        </w:rPr>
        <w:t xml:space="preserve">AV, </w:t>
      </w:r>
      <w:r w:rsidRPr="00C50D2C">
        <w:rPr>
          <w:lang w:eastAsia="en-AU"/>
        </w:rPr>
        <w:t>Spasova</w:t>
      </w:r>
      <w:r>
        <w:rPr>
          <w:lang w:eastAsia="en-AU"/>
        </w:rPr>
        <w:t xml:space="preserve"> DI, </w:t>
      </w:r>
      <w:r w:rsidRPr="00C50D2C">
        <w:rPr>
          <w:lang w:eastAsia="en-AU"/>
        </w:rPr>
        <w:t xml:space="preserve">Galabova </w:t>
      </w:r>
      <w:r>
        <w:rPr>
          <w:lang w:eastAsia="en-AU"/>
        </w:rPr>
        <w:t xml:space="preserve">DN, </w:t>
      </w:r>
      <w:r w:rsidRPr="00C50D2C">
        <w:rPr>
          <w:lang w:eastAsia="en-AU"/>
        </w:rPr>
        <w:t>E. Karpenko</w:t>
      </w:r>
      <w:r>
        <w:rPr>
          <w:lang w:eastAsia="en-AU"/>
        </w:rPr>
        <w:t xml:space="preserve"> E and </w:t>
      </w:r>
      <w:r w:rsidRPr="00C50D2C">
        <w:rPr>
          <w:lang w:eastAsia="en-AU"/>
        </w:rPr>
        <w:t>Shulga</w:t>
      </w:r>
      <w:r>
        <w:rPr>
          <w:lang w:eastAsia="en-AU"/>
        </w:rPr>
        <w:t xml:space="preserve"> A</w:t>
      </w:r>
      <w:r w:rsidR="00453B86">
        <w:rPr>
          <w:lang w:eastAsia="en-AU"/>
        </w:rPr>
        <w:t xml:space="preserve"> </w:t>
      </w:r>
      <w:r w:rsidR="00AB4223">
        <w:rPr>
          <w:lang w:eastAsia="en-AU"/>
        </w:rPr>
        <w:t xml:space="preserve">(2008) </w:t>
      </w:r>
      <w:r w:rsidR="00AB4223" w:rsidRPr="00AB4223">
        <w:rPr>
          <w:lang w:eastAsia="en-AU"/>
        </w:rPr>
        <w:t>Rhamnolipid–biosurfactant permeabilizing effects on Gram-positive and Gram-negative bacterial strains</w:t>
      </w:r>
      <w:r w:rsidR="00AB4223">
        <w:rPr>
          <w:lang w:eastAsia="en-AU"/>
        </w:rPr>
        <w:t xml:space="preserve">. Current Microbiology </w:t>
      </w:r>
      <w:r w:rsidR="00AB4223" w:rsidRPr="00AB4223">
        <w:rPr>
          <w:lang w:eastAsia="en-AU"/>
        </w:rPr>
        <w:t>56:639–644</w:t>
      </w:r>
    </w:p>
    <w:p w14:paraId="5A7D888A" w14:textId="64556FC4" w:rsidR="00BD5EF5" w:rsidRDefault="00BD5EF5" w:rsidP="00953B5B">
      <w:pPr>
        <w:spacing w:after="240"/>
        <w:rPr>
          <w:lang w:eastAsia="en-AU"/>
        </w:rPr>
      </w:pPr>
      <w:r w:rsidRPr="00BD5EF5">
        <w:rPr>
          <w:lang w:eastAsia="en-AU"/>
        </w:rPr>
        <w:t>Tribst AA</w:t>
      </w:r>
      <w:r>
        <w:rPr>
          <w:lang w:eastAsia="en-AU"/>
        </w:rPr>
        <w:t>,</w:t>
      </w:r>
      <w:r w:rsidRPr="00BD5EF5">
        <w:rPr>
          <w:lang w:eastAsia="en-AU"/>
        </w:rPr>
        <w:t xml:space="preserve"> Sant'</w:t>
      </w:r>
      <w:r>
        <w:rPr>
          <w:lang w:eastAsia="en-AU"/>
        </w:rPr>
        <w:t xml:space="preserve"> </w:t>
      </w:r>
      <w:r w:rsidRPr="00BD5EF5">
        <w:rPr>
          <w:lang w:eastAsia="en-AU"/>
        </w:rPr>
        <w:t>Ana A</w:t>
      </w:r>
      <w:r>
        <w:rPr>
          <w:lang w:eastAsia="en-AU"/>
        </w:rPr>
        <w:t xml:space="preserve"> </w:t>
      </w:r>
      <w:r w:rsidRPr="00BD5EF5">
        <w:rPr>
          <w:lang w:eastAsia="en-AU"/>
        </w:rPr>
        <w:t>de S; de Massaguer PR</w:t>
      </w:r>
      <w:r>
        <w:rPr>
          <w:lang w:eastAsia="en-AU"/>
        </w:rPr>
        <w:t xml:space="preserve"> (2009) </w:t>
      </w:r>
      <w:r w:rsidRPr="00BD5EF5">
        <w:rPr>
          <w:lang w:eastAsia="en-AU"/>
        </w:rPr>
        <w:t>Review: Microbiological quality and safety of fruit juices—past, present and future perspectives</w:t>
      </w:r>
      <w:r>
        <w:rPr>
          <w:lang w:eastAsia="en-AU"/>
        </w:rPr>
        <w:t xml:space="preserve">. </w:t>
      </w:r>
      <w:r w:rsidRPr="00BD5EF5">
        <w:rPr>
          <w:lang w:eastAsia="en-AU"/>
        </w:rPr>
        <w:t>Critical Review</w:t>
      </w:r>
      <w:r>
        <w:rPr>
          <w:lang w:eastAsia="en-AU"/>
        </w:rPr>
        <w:t>s in Microbiology 35:</w:t>
      </w:r>
      <w:r w:rsidRPr="00BD5EF5">
        <w:rPr>
          <w:lang w:eastAsia="en-AU"/>
        </w:rPr>
        <w:t>310–339</w:t>
      </w:r>
    </w:p>
    <w:p w14:paraId="2D5B8274" w14:textId="696DEDB2" w:rsidR="00953B5B" w:rsidRDefault="00953B5B" w:rsidP="00953B5B">
      <w:pPr>
        <w:spacing w:after="240"/>
        <w:rPr>
          <w:lang w:eastAsia="en-AU"/>
        </w:rPr>
      </w:pPr>
      <w:r>
        <w:rPr>
          <w:lang w:eastAsia="en-AU"/>
        </w:rPr>
        <w:t xml:space="preserve">US FDA (2017) GRAS Notice (GRN) No. 740: GRAS Notification for Long-Chain Glycolipids from </w:t>
      </w:r>
      <w:r>
        <w:rPr>
          <w:i/>
          <w:lang w:eastAsia="en-AU"/>
        </w:rPr>
        <w:t>Dacryopinax spathularia</w:t>
      </w:r>
      <w:r>
        <w:rPr>
          <w:lang w:eastAsia="en-AU"/>
        </w:rPr>
        <w:t xml:space="preserve">. Accessed 3 June 2020. </w:t>
      </w:r>
      <w:hyperlink r:id="rId45" w:history="1">
        <w:r w:rsidRPr="007D6AA8">
          <w:rPr>
            <w:rStyle w:val="Hyperlink"/>
            <w:lang w:eastAsia="en-AU"/>
          </w:rPr>
          <w:t>https://www.fda.gov/media/113331/download</w:t>
        </w:r>
      </w:hyperlink>
      <w:r>
        <w:rPr>
          <w:lang w:eastAsia="en-AU"/>
        </w:rPr>
        <w:t xml:space="preserve"> </w:t>
      </w:r>
    </w:p>
    <w:p w14:paraId="36478F0E" w14:textId="008173D9" w:rsidR="00924D28" w:rsidRDefault="00924D28" w:rsidP="00690206">
      <w:r>
        <w:t xml:space="preserve">Van Dijk </w:t>
      </w:r>
      <w:r w:rsidR="002E6546">
        <w:t>H, Onguene NA and Kuyper TW (</w:t>
      </w:r>
      <w:r>
        <w:t>2003</w:t>
      </w:r>
      <w:r w:rsidR="002E6546">
        <w:t>). Knowledge and utilization of edible mushrooms by local populations of the rain forest of South Cameroon. AMBIO: A Journal of the Human Environment 32: 19-23</w:t>
      </w:r>
    </w:p>
    <w:p w14:paraId="5476A811" w14:textId="30A67A22" w:rsidR="00924D28" w:rsidRDefault="00924D28" w:rsidP="00690206"/>
    <w:p w14:paraId="7DA82983" w14:textId="2226E829" w:rsidR="00924D28" w:rsidRDefault="00924D28" w:rsidP="00690206">
      <w:r>
        <w:t xml:space="preserve">Zhishu </w:t>
      </w:r>
      <w:r w:rsidR="000F24F4">
        <w:t>B, Guoyang Z and Taihui L (1</w:t>
      </w:r>
      <w:r>
        <w:t>993</w:t>
      </w:r>
      <w:r w:rsidR="000F24F4">
        <w:t>). The MAcrofungus Flora of China’s Guandong Province. The Chinese University Press, Shatin, NT, Hong Kong.</w:t>
      </w:r>
    </w:p>
    <w:p w14:paraId="6E027577" w14:textId="11840EB1" w:rsidR="00A20AAC" w:rsidRDefault="00A20AAC">
      <w:pPr>
        <w:widowControl/>
      </w:pPr>
      <w:r>
        <w:br w:type="page"/>
      </w:r>
    </w:p>
    <w:p w14:paraId="0C34A141" w14:textId="670576DA" w:rsidR="00A20AAC" w:rsidRDefault="00A20AAC" w:rsidP="000D20BD">
      <w:pPr>
        <w:pStyle w:val="Heading2"/>
      </w:pPr>
      <w:bookmarkStart w:id="185" w:name="_Ref406592480"/>
      <w:bookmarkStart w:id="186" w:name="_Toc516668855"/>
      <w:bookmarkStart w:id="187" w:name="_Toc508119310"/>
      <w:bookmarkStart w:id="188" w:name="_Toc494292565"/>
      <w:bookmarkStart w:id="189" w:name="_Toc415041936"/>
      <w:bookmarkStart w:id="190" w:name="_Toc43217076"/>
      <w:bookmarkStart w:id="191" w:name="_Toc44401561"/>
      <w:bookmarkStart w:id="192" w:name="_Toc45284313"/>
      <w:bookmarkStart w:id="193" w:name="_Toc46929434"/>
      <w:bookmarkStart w:id="194" w:name="_Ref406587862"/>
      <w:bookmarkStart w:id="195" w:name="_Toc360028637"/>
      <w:bookmarkStart w:id="196" w:name="_Toc269201853"/>
      <w:r>
        <w:t xml:space="preserve">Appendix </w:t>
      </w:r>
      <w:fldSimple w:instr=" SEQ Appendix \* ARABIC ">
        <w:r w:rsidR="00E202C8">
          <w:rPr>
            <w:noProof/>
          </w:rPr>
          <w:t>1</w:t>
        </w:r>
      </w:fldSimple>
      <w:bookmarkEnd w:id="185"/>
      <w:r>
        <w:t>: Dietary Exposure Assessments at FSANZ</w:t>
      </w:r>
      <w:bookmarkEnd w:id="186"/>
      <w:bookmarkEnd w:id="187"/>
      <w:bookmarkEnd w:id="188"/>
      <w:bookmarkEnd w:id="189"/>
      <w:bookmarkEnd w:id="190"/>
      <w:bookmarkEnd w:id="191"/>
      <w:bookmarkEnd w:id="192"/>
      <w:bookmarkEnd w:id="193"/>
    </w:p>
    <w:bookmarkEnd w:id="194"/>
    <w:bookmarkEnd w:id="195"/>
    <w:bookmarkEnd w:id="196"/>
    <w:p w14:paraId="5A1AFECC" w14:textId="77777777" w:rsidR="00A20AAC" w:rsidRDefault="00A20AAC" w:rsidP="00A20AAC">
      <w:pPr>
        <w:rPr>
          <w:lang w:eastAsia="en-GB"/>
        </w:rPr>
      </w:pPr>
      <w:r>
        <w:rPr>
          <w:lang w:eastAsia="en-GB"/>
        </w:rPr>
        <w:t>A dietary exposure assessment is the process of estimating how much of a food chemical a population, or population sub group, consumes. Dietary exposure to food chemicals is estimated by combining food consumption data with food chemical concentration data. The process of doing this is called ‘dietary modelling’.</w:t>
      </w:r>
    </w:p>
    <w:p w14:paraId="58ADBD30" w14:textId="77777777" w:rsidR="00A20AAC" w:rsidRDefault="00A20AAC" w:rsidP="00A20AAC">
      <w:pPr>
        <w:rPr>
          <w:i/>
          <w:lang w:eastAsia="en-GB"/>
        </w:rPr>
      </w:pPr>
      <w:r>
        <w:rPr>
          <w:i/>
          <w:lang w:eastAsia="en-GB"/>
        </w:rPr>
        <w:t>Dietary exposure = food chemical concentration x food consumption</w:t>
      </w:r>
    </w:p>
    <w:p w14:paraId="38A11439" w14:textId="77777777" w:rsidR="00360EB2" w:rsidRDefault="00360EB2" w:rsidP="00A20AAC">
      <w:pPr>
        <w:rPr>
          <w:lang w:eastAsia="en-GB"/>
        </w:rPr>
      </w:pPr>
    </w:p>
    <w:p w14:paraId="1C3FB58E" w14:textId="77777777" w:rsidR="00A20AAC" w:rsidRDefault="00A20AAC" w:rsidP="00A20AAC">
      <w:pPr>
        <w:rPr>
          <w:lang w:eastAsia="en-GB"/>
        </w:rPr>
      </w:pPr>
      <w:r>
        <w:rPr>
          <w:lang w:eastAsia="en-GB"/>
        </w:rPr>
        <w:t>FSANZ’s approach to dietary modelling is based on internationally accepted procedures for estimating dietary exposure to food chemicals. Different dietary modelling approaches may be used depending on the assessment, the type of food chemical, the data available and the risk assessment questions to be answered. In the majority of assessments FSANZ uses the food consumption data from each person in the national nutrition surveys to estimate their individual dietary exposure. Population summary statistics such as the mean exposure or a high percentile exposure are derived from the ranked individual person’s exposures from the nutrition survey.</w:t>
      </w:r>
    </w:p>
    <w:p w14:paraId="4915FA89" w14:textId="77777777" w:rsidR="00360EB2" w:rsidRDefault="00360EB2" w:rsidP="00A20AAC">
      <w:pPr>
        <w:rPr>
          <w:lang w:eastAsia="en-GB"/>
        </w:rPr>
      </w:pPr>
    </w:p>
    <w:p w14:paraId="5324B744" w14:textId="77777777" w:rsidR="00A20AAC" w:rsidRDefault="00A20AAC" w:rsidP="00A20AAC">
      <w:r>
        <w:t xml:space="preserve">An overview of how dietary exposure assessments are conducted and their place in the FSANZ Risk Analysis Process is provided on the FSANZ website at: </w:t>
      </w:r>
      <w:hyperlink r:id="rId46" w:history="1">
        <w:r>
          <w:rPr>
            <w:rStyle w:val="Hyperlink"/>
          </w:rPr>
          <w:t>http://www.foodstandards.gov.au/science/riskanalysis/Pages/default.aspx</w:t>
        </w:r>
      </w:hyperlink>
      <w:r>
        <w:t xml:space="preserve"> </w:t>
      </w:r>
    </w:p>
    <w:p w14:paraId="42978BC3" w14:textId="77777777" w:rsidR="00A20AAC" w:rsidRDefault="00A20AAC" w:rsidP="00A20AAC">
      <w:r>
        <w:rPr>
          <w:lang w:eastAsia="en-GB"/>
        </w:rPr>
        <w:t>FSANZ has developed a custom-built computer program ‘Harvest’ to calculate dietary exposures. Harvest replaces the program ‘DIAMOND’ that had been used by FSANZ for many years. Harvest has been designed to replicate the calculations that occurred within DIAMOND using a different software package.</w:t>
      </w:r>
    </w:p>
    <w:p w14:paraId="7ACDD71B" w14:textId="77777777" w:rsidR="00360EB2" w:rsidRDefault="00360EB2" w:rsidP="00A20AAC"/>
    <w:p w14:paraId="4AD98C6F" w14:textId="77777777" w:rsidR="00A20AAC" w:rsidRDefault="00A20AAC" w:rsidP="00A20AAC">
      <w:r>
        <w:t xml:space="preserve">Further detailed information on conducting dietary exposure assessments at FSANZ is provided in </w:t>
      </w:r>
      <w:r>
        <w:rPr>
          <w:i/>
        </w:rPr>
        <w:t xml:space="preserve">Principles and Practices of Dietary Exposure Assessment for Food Regulatory Purposes </w:t>
      </w:r>
      <w:r>
        <w:t xml:space="preserve">(FSANZ 2009), available at: </w:t>
      </w:r>
      <w:hyperlink r:id="rId47" w:history="1">
        <w:r>
          <w:rPr>
            <w:rStyle w:val="Hyperlink"/>
          </w:rPr>
          <w:t>http://www.foodstandards.gov.au/science/exposure/documents/Principles%20_%20practices%20exposure%20assessment%202009.pdf</w:t>
        </w:r>
      </w:hyperlink>
      <w:r>
        <w:t xml:space="preserve"> </w:t>
      </w:r>
    </w:p>
    <w:p w14:paraId="09510634" w14:textId="28F7876D" w:rsidR="00CD6AF8" w:rsidRPr="00CD6AF8" w:rsidRDefault="00CD6AF8" w:rsidP="00CD6AF8">
      <w:pPr>
        <w:pStyle w:val="Heading2"/>
        <w:rPr>
          <w:rFonts w:cs="Times New Roman"/>
          <w:b w:val="0"/>
          <w:bCs w:val="0"/>
          <w:color w:val="000000" w:themeColor="text1"/>
        </w:rPr>
      </w:pPr>
      <w:bookmarkStart w:id="197" w:name="_Toc43217069"/>
      <w:bookmarkStart w:id="198" w:name="_Toc44401554"/>
      <w:bookmarkStart w:id="199" w:name="_Toc45284306"/>
      <w:bookmarkStart w:id="200" w:name="_Toc46929435"/>
      <w:bookmarkStart w:id="201" w:name="_Toc516668856"/>
      <w:bookmarkStart w:id="202" w:name="_Toc508119311"/>
      <w:bookmarkStart w:id="203" w:name="_Toc494292566"/>
      <w:bookmarkStart w:id="204" w:name="_Toc415041937"/>
      <w:bookmarkStart w:id="205" w:name="_Toc360028638"/>
      <w:bookmarkStart w:id="206" w:name="_Toc256582725"/>
      <w:bookmarkStart w:id="207" w:name="_Toc43217077"/>
      <w:bookmarkStart w:id="208" w:name="_Toc44401562"/>
      <w:bookmarkStart w:id="209" w:name="_Toc45284314"/>
      <w:r w:rsidRPr="00CD6AF8">
        <w:rPr>
          <w:rFonts w:cs="Times New Roman"/>
          <w:b w:val="0"/>
          <w:bCs w:val="0"/>
          <w:color w:val="000000" w:themeColor="text1"/>
        </w:rPr>
        <w:t>A.1.1 How the estimated dietary exposures were calculated</w:t>
      </w:r>
      <w:bookmarkEnd w:id="197"/>
      <w:bookmarkEnd w:id="198"/>
      <w:bookmarkEnd w:id="199"/>
      <w:bookmarkEnd w:id="200"/>
    </w:p>
    <w:p w14:paraId="660360EA" w14:textId="55473BFF" w:rsidR="00CD6AF8" w:rsidRPr="00CD6AF8" w:rsidRDefault="00CD6AF8" w:rsidP="00CD6AF8">
      <w:r>
        <w:t>jelly mushroom glycolipids</w:t>
      </w:r>
      <w:r w:rsidRPr="000F4580">
        <w:t xml:space="preserve"> dietary exposures were calculated for each individual respondent in the </w:t>
      </w:r>
      <w:r>
        <w:t>national nutrition surveys</w:t>
      </w:r>
      <w:r w:rsidRPr="000F4580">
        <w:t xml:space="preserve"> using their individual food consumption records. The Harvest program multiplied the specified concentrations of </w:t>
      </w:r>
      <w:r>
        <w:t>jelly mushroom glycolipids</w:t>
      </w:r>
      <w:r w:rsidRPr="000F4580">
        <w:t xml:space="preserve"> for an individual food by the amount of the food that an individual consumed in order to estimate the exposure to </w:t>
      </w:r>
      <w:r>
        <w:t>jelly mushroom glycolipids</w:t>
      </w:r>
      <w:r w:rsidRPr="000F4580">
        <w:t xml:space="preserve"> from each food. Once this had been completed for all of the foods specified to contain </w:t>
      </w:r>
      <w:r>
        <w:t>jelly mushroom glycolipids</w:t>
      </w:r>
      <w:r w:rsidRPr="000F4580">
        <w:t xml:space="preserve"> the total amount of </w:t>
      </w:r>
      <w:r>
        <w:t>jelly mushroom glycolipids</w:t>
      </w:r>
      <w:r w:rsidRPr="000F4580">
        <w:t xml:space="preserve"> consumed from all foods was summed for each individual.</w:t>
      </w:r>
      <w:r>
        <w:t xml:space="preserve"> Where results are expressed on a body weight basis, each individuals body weight was used.</w:t>
      </w:r>
      <w:r w:rsidRPr="000F4580">
        <w:t xml:space="preserve"> Mean and 90</w:t>
      </w:r>
      <w:r w:rsidRPr="000F4580">
        <w:rPr>
          <w:vertAlign w:val="superscript"/>
        </w:rPr>
        <w:t>th</w:t>
      </w:r>
      <w:r w:rsidRPr="000F4580">
        <w:t xml:space="preserve"> percentile (P90) exposures were then derived from the individuals’ ranked </w:t>
      </w:r>
      <w:r>
        <w:t>exposure</w:t>
      </w:r>
      <w:r w:rsidRPr="000F4580">
        <w:t>s.</w:t>
      </w:r>
      <w:r>
        <w:t xml:space="preserve"> Estimated dietary exposures for the population on a body weight basis were compared to the Acceptable Daily Intake (ADI) for risk characterisation purposes.</w:t>
      </w:r>
    </w:p>
    <w:p w14:paraId="16ED5AF0" w14:textId="58B30EB2" w:rsidR="00A20AAC" w:rsidRDefault="00CD6AF8" w:rsidP="00A20AAC">
      <w:pPr>
        <w:pStyle w:val="Heading3"/>
        <w:ind w:left="0" w:firstLine="0"/>
      </w:pPr>
      <w:bookmarkStart w:id="210" w:name="_Toc46929436"/>
      <w:r>
        <w:rPr>
          <w:b w:val="0"/>
          <w:bCs w:val="0"/>
        </w:rPr>
        <w:t>A1.2</w:t>
      </w:r>
      <w:r w:rsidR="00A20AAC">
        <w:rPr>
          <w:b w:val="0"/>
          <w:bCs w:val="0"/>
        </w:rPr>
        <w:tab/>
        <w:t>Food consumption data used</w:t>
      </w:r>
      <w:bookmarkEnd w:id="201"/>
      <w:bookmarkEnd w:id="202"/>
      <w:bookmarkEnd w:id="203"/>
      <w:bookmarkEnd w:id="204"/>
      <w:bookmarkEnd w:id="205"/>
      <w:bookmarkEnd w:id="206"/>
      <w:bookmarkEnd w:id="207"/>
      <w:bookmarkEnd w:id="208"/>
      <w:bookmarkEnd w:id="209"/>
      <w:bookmarkEnd w:id="210"/>
    </w:p>
    <w:p w14:paraId="2AC67025" w14:textId="1A294166" w:rsidR="00A20AAC" w:rsidRDefault="00A20AAC" w:rsidP="00A20AAC">
      <w:r>
        <w:t>The most recent food consumption data available were used to estimate dietary exposures</w:t>
      </w:r>
      <w:r w:rsidR="00360EB2">
        <w:t xml:space="preserve"> to </w:t>
      </w:r>
      <w:r w:rsidR="004C28B5">
        <w:t>j</w:t>
      </w:r>
      <w:r w:rsidR="00360EB2">
        <w:t>elly mushroom glycolipids</w:t>
      </w:r>
      <w:r>
        <w:t xml:space="preserve"> for the Australian and New Zealand populations. The national nutrition survey data used for these assessments were:</w:t>
      </w:r>
    </w:p>
    <w:p w14:paraId="19C915CF" w14:textId="77777777" w:rsidR="00A20AAC" w:rsidRDefault="00A20AAC" w:rsidP="00A20AAC">
      <w:pPr>
        <w:pStyle w:val="FSBullet1"/>
        <w:numPr>
          <w:ilvl w:val="0"/>
          <w:numId w:val="15"/>
        </w:numPr>
      </w:pPr>
      <w:r>
        <w:t>The 2011-12 Australian National Nutrition and Physical Activity Survey (2011-12 NNPAS)</w:t>
      </w:r>
    </w:p>
    <w:p w14:paraId="52565BEC" w14:textId="77777777" w:rsidR="00A20AAC" w:rsidRDefault="00A20AAC" w:rsidP="00A20AAC">
      <w:pPr>
        <w:pStyle w:val="FSBullet1"/>
        <w:numPr>
          <w:ilvl w:val="0"/>
          <w:numId w:val="15"/>
        </w:numPr>
      </w:pPr>
      <w:r>
        <w:t>The 2002 New Zealand National Children’s Nutrition Survey (2002 NZ CNS)</w:t>
      </w:r>
    </w:p>
    <w:p w14:paraId="56114FA4" w14:textId="77777777" w:rsidR="00A20AAC" w:rsidRDefault="00A20AAC" w:rsidP="00A20AAC">
      <w:pPr>
        <w:pStyle w:val="FSBullet1"/>
        <w:numPr>
          <w:ilvl w:val="0"/>
          <w:numId w:val="15"/>
        </w:numPr>
      </w:pPr>
      <w:r>
        <w:t>The 2008-09 New Zealand Adult Nutrition Survey (2008 NZ ANS).</w:t>
      </w:r>
    </w:p>
    <w:p w14:paraId="7129176C" w14:textId="77777777" w:rsidR="00A20AAC" w:rsidRDefault="00A20AAC" w:rsidP="00A20AAC"/>
    <w:p w14:paraId="50748A10" w14:textId="77777777" w:rsidR="00A20AAC" w:rsidRDefault="00A20AAC" w:rsidP="00A20AAC">
      <w:pPr>
        <w:rPr>
          <w:i/>
          <w:highlight w:val="yellow"/>
        </w:rPr>
      </w:pPr>
      <w:r>
        <w:t xml:space="preserve">The design of each of these surveys varies somewhat and key attributes of each are set out below. </w:t>
      </w:r>
      <w:r>
        <w:rPr>
          <w:lang w:eastAsia="en-AU"/>
        </w:rPr>
        <w:t xml:space="preserve">Further information on the national nutrition surveys used to conduct dietary exposure assessments is available on the FSANZ website at </w:t>
      </w:r>
      <w:hyperlink r:id="rId48" w:history="1">
        <w:r>
          <w:rPr>
            <w:rStyle w:val="Hyperlink"/>
            <w:lang w:eastAsia="en-AU"/>
          </w:rPr>
          <w:t>http://www.foodstandards.gov.au/science/exposure/Pages/dietaryexposureandin4438.aspx</w:t>
        </w:r>
      </w:hyperlink>
      <w:r>
        <w:rPr>
          <w:lang w:eastAsia="en-AU"/>
        </w:rPr>
        <w:t>.</w:t>
      </w:r>
    </w:p>
    <w:p w14:paraId="21E15D28" w14:textId="790EF3C1" w:rsidR="00A20AAC" w:rsidRDefault="00CD6AF8" w:rsidP="00360EB2">
      <w:pPr>
        <w:pStyle w:val="Heading4"/>
        <w:keepLines/>
        <w:ind w:left="993" w:hanging="993"/>
        <w:jc w:val="both"/>
      </w:pPr>
      <w:bookmarkStart w:id="211" w:name="_Toc494292567"/>
      <w:bookmarkStart w:id="212" w:name="_Toc415041938"/>
      <w:bookmarkStart w:id="213" w:name="_Toc516668857"/>
      <w:bookmarkStart w:id="214" w:name="_Toc508119312"/>
      <w:r>
        <w:rPr>
          <w:b w:val="0"/>
          <w:bCs w:val="0"/>
        </w:rPr>
        <w:t>A1.2</w:t>
      </w:r>
      <w:r w:rsidR="00A20AAC">
        <w:rPr>
          <w:b w:val="0"/>
          <w:bCs w:val="0"/>
        </w:rPr>
        <w:t>.1</w:t>
      </w:r>
      <w:bookmarkEnd w:id="211"/>
      <w:bookmarkEnd w:id="212"/>
      <w:r w:rsidR="00A20AAC">
        <w:rPr>
          <w:b w:val="0"/>
          <w:bCs w:val="0"/>
        </w:rPr>
        <w:tab/>
        <w:t>2011–12 Australian National Nutrition and Physical Activity Survey (2011-12 NNPAS)</w:t>
      </w:r>
      <w:bookmarkEnd w:id="213"/>
      <w:bookmarkEnd w:id="214"/>
    </w:p>
    <w:p w14:paraId="5DBF9D19" w14:textId="1DC20518" w:rsidR="00A20AAC" w:rsidRDefault="00A20AAC" w:rsidP="00360EB2">
      <w:pPr>
        <w:keepNext/>
        <w:keepLines/>
      </w:pPr>
      <w:r>
        <w:t>The 2011–12 Australian National Nutrition and Physical Activity Survey (2011-12 NNPAS), undertaken by the Australian Bureau of Statistics, is the most recent food consumption data for Australia. This survey includes dietary patterns of a sample of 12,153 Australians aged from 2 years and above. The survey used a 24-hour recall method for all respondents, with 64% of respondents also completing a second 24-hour recall on a second, non-consecutive day. The data were collected from May 2011 to June 2012 (with no enumeration between August and September 2011 due to the Census). Only those respondents who had two days of food consumption data</w:t>
      </w:r>
      <w:r w:rsidR="00E33CDE">
        <w:t xml:space="preserve"> (excluding dietary supplements)</w:t>
      </w:r>
      <w:r>
        <w:t xml:space="preserve"> were used to estimate </w:t>
      </w:r>
      <w:r w:rsidR="004C28B5">
        <w:t>j</w:t>
      </w:r>
      <w:r w:rsidR="005F7B7D">
        <w:t>elly mushroom glycolipids</w:t>
      </w:r>
      <w:r>
        <w:t xml:space="preserve"> dietary exposures for this assessment. T</w:t>
      </w:r>
      <w:r>
        <w:rPr>
          <w:lang w:eastAsia="en-AU"/>
        </w:rPr>
        <w:t xml:space="preserve">he Day 1 and 2 average provides the best estimates of </w:t>
      </w:r>
      <w:r w:rsidR="004C28B5">
        <w:t>j</w:t>
      </w:r>
      <w:r w:rsidR="005F7B7D">
        <w:t>elly mushroom glycolipids</w:t>
      </w:r>
      <w:r>
        <w:t xml:space="preserve"> dietary</w:t>
      </w:r>
      <w:r>
        <w:rPr>
          <w:lang w:eastAsia="en-AU"/>
        </w:rPr>
        <w:t xml:space="preserve"> exposures for Australians aged 2 years and above. </w:t>
      </w:r>
      <w:r>
        <w:t xml:space="preserve">Consumption and respondent data from the survey were incorporated into the Harvest program from the Confidentialised Unit Record Files (CURF) data set </w:t>
      </w:r>
      <w:r>
        <w:fldChar w:fldCharType="begin"/>
      </w:r>
      <w:r>
        <w:instrText xml:space="preserve"> ADDIN REFMGR.CITE &lt;Refman&gt;&lt;Cite&gt;&lt;Author&gt;ABS&lt;/Author&gt;&lt;Year&gt;2014&lt;/Year&gt;&lt;RecNum&gt;22&lt;/RecNum&gt;&lt;IDText&gt;National Nutrition and Physical Activity Survey, 2011-12, Basic CURF&lt;/IDText&gt;&lt;MDL Ref_Type="Report"&gt;&lt;Ref_Type&gt;Report&lt;/Ref_Type&gt;&lt;Ref_ID&gt;22&lt;/Ref_ID&gt;&lt;Title_Primary&gt;National Nutrition and Physical Activity Survey, 2011-12, Basic CURF&lt;/Title_Primary&gt;&lt;Authors_Primary&gt;ABS&lt;/Authors_Primary&gt;&lt;Date_Primary&gt;2014&lt;/Date_Primary&gt;&lt;Reprint&gt;Not in File&lt;/Reprint&gt;&lt;Pub_Place&gt;Canberra&lt;/Pub_Place&gt;&lt;Publisher&gt;Australian Government&lt;/Publisher&gt;&lt;Web_URL&gt;&lt;u&gt;http://www.abs.gov.au/AUSSTATS/abs@.nsf/Latestproducts/4324.0.55.002Main%20Features652011-12?opendocument&amp;amp;tabname=Summary&amp;amp;prodno=4324.0.55.002&amp;amp;issue=2011-12&amp;amp;num=&amp;amp;view=&lt;/u&gt;&lt;/Web_URL&gt;&lt;ZZ_WorkformID&gt;24&lt;/ZZ_WorkformID&gt;&lt;/MDL&gt;&lt;/Cite&gt;&lt;/Refman&gt;</w:instrText>
      </w:r>
      <w:r>
        <w:fldChar w:fldCharType="separate"/>
      </w:r>
      <w:r>
        <w:rPr>
          <w:noProof/>
        </w:rPr>
        <w:t>(ABS 2014)</w:t>
      </w:r>
      <w:r>
        <w:fldChar w:fldCharType="end"/>
      </w:r>
      <w:r>
        <w:t>. These data were weighted during the calculations undertaken in Harvest.</w:t>
      </w:r>
    </w:p>
    <w:p w14:paraId="1AFAB28F" w14:textId="2D2ADE74" w:rsidR="00A20AAC" w:rsidRDefault="00CD6AF8" w:rsidP="00A20AAC">
      <w:pPr>
        <w:pStyle w:val="Heading4"/>
        <w:ind w:left="0" w:firstLine="0"/>
      </w:pPr>
      <w:bookmarkStart w:id="215" w:name="_Toc516668858"/>
      <w:bookmarkStart w:id="216" w:name="_Toc508119313"/>
      <w:bookmarkStart w:id="217" w:name="_Toc434566820"/>
      <w:r>
        <w:rPr>
          <w:b w:val="0"/>
          <w:bCs w:val="0"/>
        </w:rPr>
        <w:t>A1.2</w:t>
      </w:r>
      <w:r w:rsidR="00A20AAC">
        <w:rPr>
          <w:b w:val="0"/>
          <w:bCs w:val="0"/>
        </w:rPr>
        <w:t>.2</w:t>
      </w:r>
      <w:r w:rsidR="00A20AAC">
        <w:rPr>
          <w:b w:val="0"/>
          <w:bCs w:val="0"/>
        </w:rPr>
        <w:tab/>
        <w:t>2002 New Zealand National Children’s Nutrition Survey (2002 NZ CNS)</w:t>
      </w:r>
      <w:bookmarkEnd w:id="215"/>
      <w:bookmarkEnd w:id="216"/>
      <w:bookmarkEnd w:id="217"/>
    </w:p>
    <w:p w14:paraId="1EA0CFB3" w14:textId="0E816DAE" w:rsidR="00A20AAC" w:rsidRDefault="00A20AAC" w:rsidP="00A20AAC">
      <w:pPr>
        <w:autoSpaceDE w:val="0"/>
        <w:autoSpaceDN w:val="0"/>
        <w:adjustRightInd w:val="0"/>
      </w:pPr>
      <w:r>
        <w:t xml:space="preserve">The 2002 NZ CNS </w:t>
      </w:r>
      <w:r w:rsidR="008853B0">
        <w:rPr>
          <w:lang w:eastAsia="en-AU"/>
        </w:rPr>
        <w:t>(Ministry of Health, 2005)</w:t>
      </w:r>
      <w:r w:rsidR="008853B0">
        <w:t xml:space="preserve"> </w:t>
      </w:r>
      <w:r>
        <w:t xml:space="preserve">was a cross-sectional and nationally representative survey of 3,275 New Zealand children aged 5–14 years. The data were collected during the school year from February to December 2002. The survey used a 24-hour food recall and provided information on food and nutrient intakes, eating patterns, frequently eaten foods, physical activity patterns, dental health, anthropometric measures and nutrition-related clinical measures. It was also the first children’s nutrition survey in New Zealand to include a second day diet recall data for about 15% of the respondents, and dietary intake from both foods (including beverages) and dietary supplements. </w:t>
      </w:r>
      <w:r>
        <w:rPr>
          <w:lang w:eastAsia="en-AU"/>
        </w:rPr>
        <w:t xml:space="preserve">Only the Day 1 24-hour recall data for all respondents (excluding supplements) were used for this assessment. </w:t>
      </w:r>
      <w:r>
        <w:t>These data were weighted during the calculations undertaken in Harvest.</w:t>
      </w:r>
    </w:p>
    <w:p w14:paraId="1A4CBEE7" w14:textId="6DB60EAA" w:rsidR="00A20AAC" w:rsidRDefault="00CD6AF8" w:rsidP="00A20AAC">
      <w:pPr>
        <w:pStyle w:val="Heading4"/>
        <w:ind w:left="0" w:firstLine="0"/>
        <w:rPr>
          <w:rFonts w:eastAsia="Calibri"/>
          <w:lang w:eastAsia="en-GB"/>
        </w:rPr>
      </w:pPr>
      <w:bookmarkStart w:id="218" w:name="_Toc516668859"/>
      <w:bookmarkStart w:id="219" w:name="_Toc508119314"/>
      <w:bookmarkStart w:id="220" w:name="_Toc434566821"/>
      <w:r>
        <w:rPr>
          <w:rFonts w:eastAsia="Calibri"/>
          <w:b w:val="0"/>
          <w:bCs w:val="0"/>
          <w:lang w:eastAsia="en-GB"/>
        </w:rPr>
        <w:t>A1.2</w:t>
      </w:r>
      <w:r w:rsidR="00A20AAC">
        <w:rPr>
          <w:rFonts w:eastAsia="Calibri"/>
          <w:b w:val="0"/>
          <w:bCs w:val="0"/>
          <w:lang w:eastAsia="en-GB"/>
        </w:rPr>
        <w:t>.3</w:t>
      </w:r>
      <w:r w:rsidR="00A20AAC">
        <w:rPr>
          <w:rFonts w:eastAsia="Calibri"/>
          <w:b w:val="0"/>
          <w:bCs w:val="0"/>
          <w:lang w:eastAsia="en-GB"/>
        </w:rPr>
        <w:tab/>
        <w:t>2008-09 New Zealand Adult Nutrition Survey (2008 NZ ANS)</w:t>
      </w:r>
      <w:bookmarkEnd w:id="218"/>
      <w:bookmarkEnd w:id="219"/>
      <w:bookmarkEnd w:id="220"/>
    </w:p>
    <w:p w14:paraId="0D44523A" w14:textId="30A9D272" w:rsidR="00A20AAC" w:rsidRDefault="00A20AAC" w:rsidP="00A20AAC">
      <w:r>
        <w:rPr>
          <w:lang w:eastAsia="en-AU"/>
        </w:rPr>
        <w:t xml:space="preserve">The 2008 NZ ANS </w:t>
      </w:r>
      <w:r w:rsidR="008853B0">
        <w:fldChar w:fldCharType="begin"/>
      </w:r>
      <w:r w:rsidR="008853B0">
        <w:instrText xml:space="preserve"> ADDIN REFMGR.CITE &lt;Refman&gt;&lt;Cite&gt;&lt;Author&gt;Ministry of Health&lt;/Author&gt;&lt;Year&gt;2011&lt;/Year&gt;&lt;RecNum&gt;23&lt;/RecNum&gt;&lt;IDText&gt;Methodology report for the 2008/09 New Zealand Adult Nutrition Survey&lt;/IDText&gt;&lt;MDL Ref_Type="Report"&gt;&lt;Ref_Type&gt;Report&lt;/Ref_Type&gt;&lt;Ref_ID&gt;23&lt;/Ref_ID&gt;&lt;Title_Primary&gt;Methodology report for the 2008/09 New Zealand Adult Nutrition Survey&lt;/Title_Primary&gt;&lt;Authors_Primary&gt;Ministry of Health&lt;/Authors_Primary&gt;&lt;Date_Primary&gt;2011&lt;/Date_Primary&gt;&lt;Reprint&gt;Not in File&lt;/Reprint&gt;&lt;Pub_Place&gt;Wellington&lt;/Pub_Place&gt;&lt;Publisher&gt;Ministry of Health&lt;/Publisher&gt;&lt;ISSN_ISBN&gt;&lt;f name="ArialMT"&gt;ISBN 978-0-478-37337-0&lt;/f&gt;&lt;/ISSN_ISBN&gt;&lt;ZZ_WorkformID&gt;24&lt;/ZZ_WorkformID&gt;&lt;/MDL&gt;&lt;/Cite&gt;&lt;Cite&gt;&lt;Author&gt;Ministry of Health&lt;/Author&gt;&lt;Year&gt;2011&lt;/Year&gt;&lt;RecNum&gt;24&lt;/RecNum&gt;&lt;IDText&gt;A focus on nutrition: Key findings of the 2008/09 New Zealand Adult Nutrition Survey&lt;/IDText&gt;&lt;MDL Ref_Type="Report"&gt;&lt;Ref_Type&gt;Report&lt;/Ref_Type&gt;&lt;Ref_ID&gt;24&lt;/Ref_ID&gt;&lt;Title_Primary&gt;A focus on nutrition: Key findings of the 2008/09 New Zealand Adult Nutrition Survey&lt;/Title_Primary&gt;&lt;Authors_Primary&gt;Ministry of Health&lt;/Authors_Primary&gt;&lt;Date_Primary&gt;2011&lt;/Date_Primary&gt;&lt;Reprint&gt;Not in File&lt;/Reprint&gt;&lt;Pub_Place&gt;Wellington&lt;/Pub_Place&gt;&lt;Publisher&gt;Ministry of Health&lt;/Publisher&gt;&lt;ISSN_ISBN&gt;&lt;f name="ArialMT"&gt;ISBN 978-0-478-37348-6 (online)&lt;/f&gt;&lt;/ISSN_ISBN&gt;&lt;ZZ_WorkformID&gt;24&lt;/ZZ_WorkformID&gt;&lt;/MDL&gt;&lt;/Cite&gt;&lt;/Refman&gt;</w:instrText>
      </w:r>
      <w:r w:rsidR="008853B0">
        <w:fldChar w:fldCharType="separate"/>
      </w:r>
      <w:r w:rsidR="008853B0">
        <w:rPr>
          <w:noProof/>
        </w:rPr>
        <w:t>(Ministry of Health 2011a; Ministry of Health 2011b)</w:t>
      </w:r>
      <w:r w:rsidR="008853B0">
        <w:fldChar w:fldCharType="end"/>
      </w:r>
      <w:r w:rsidR="008853B0">
        <w:t xml:space="preserve"> </w:t>
      </w:r>
      <w:r>
        <w:rPr>
          <w:lang w:eastAsia="en-AU"/>
        </w:rPr>
        <w:t>provides comprehensive information on the dietary patterns of a sample of 4,721 respondents aged 15 years and above. The survey was conducted on a stratified sample over a 12-month period from October 2008 to October 2009. The survey used a 24</w:t>
      </w:r>
      <w:r>
        <w:rPr>
          <w:lang w:eastAsia="en-AU"/>
        </w:rPr>
        <w:noBreakHyphen/>
        <w:t>hour recall methodology with 25% of respondents also completing a second 24-hour recall.</w:t>
      </w:r>
      <w:r>
        <w:t xml:space="preserve"> The information collected in the 2008 NZ ANS included food and nutrient intakes, dietary supplement use, socio-demographics, nutrition related health, and anthropometric measures. </w:t>
      </w:r>
      <w:r>
        <w:rPr>
          <w:lang w:eastAsia="en-AU"/>
        </w:rPr>
        <w:t>Only the Day 1 24-hour recall data for all respondents (excluding supplements) were used for this assessment. These data were weighted during the calculations undertaken in Harvest.</w:t>
      </w:r>
      <w:bookmarkStart w:id="221" w:name="_Toc360028639"/>
      <w:bookmarkEnd w:id="221"/>
    </w:p>
    <w:p w14:paraId="5DE89DF1" w14:textId="45DAC19C" w:rsidR="00CD6AF8" w:rsidRPr="00CD6AF8" w:rsidRDefault="00CD6AF8" w:rsidP="00CD6AF8">
      <w:pPr>
        <w:pStyle w:val="Heading2"/>
        <w:rPr>
          <w:rFonts w:cs="Times New Roman"/>
          <w:b w:val="0"/>
          <w:bCs w:val="0"/>
          <w:color w:val="000000" w:themeColor="text1"/>
        </w:rPr>
      </w:pPr>
      <w:bookmarkStart w:id="222" w:name="_Toc46929437"/>
      <w:bookmarkStart w:id="223" w:name="_Toc516668860"/>
      <w:bookmarkStart w:id="224" w:name="_Toc508119315"/>
      <w:bookmarkStart w:id="225" w:name="_Toc494292570"/>
      <w:bookmarkStart w:id="226" w:name="_Toc415041943"/>
      <w:bookmarkStart w:id="227" w:name="_Toc360028640"/>
      <w:bookmarkStart w:id="228" w:name="_Toc256582727"/>
      <w:bookmarkStart w:id="229" w:name="_Toc247509506"/>
      <w:bookmarkStart w:id="230" w:name="_Toc43217078"/>
      <w:bookmarkStart w:id="231" w:name="_Toc44401563"/>
      <w:bookmarkStart w:id="232" w:name="_Toc45284315"/>
      <w:r>
        <w:rPr>
          <w:b w:val="0"/>
          <w:bCs w:val="0"/>
        </w:rPr>
        <w:t xml:space="preserve">A1.3 </w:t>
      </w:r>
      <w:bookmarkStart w:id="233" w:name="_Toc43217070"/>
      <w:bookmarkStart w:id="234" w:name="_Toc44401555"/>
      <w:bookmarkStart w:id="235" w:name="_Toc45284307"/>
      <w:r w:rsidRPr="00CD6AF8">
        <w:rPr>
          <w:rFonts w:cs="Times New Roman"/>
          <w:b w:val="0"/>
          <w:bCs w:val="0"/>
          <w:color w:val="000000" w:themeColor="text1"/>
        </w:rPr>
        <w:t>Assumptions</w:t>
      </w:r>
      <w:r>
        <w:rPr>
          <w:rFonts w:cs="Times New Roman"/>
          <w:b w:val="0"/>
          <w:bCs w:val="0"/>
          <w:color w:val="000000" w:themeColor="text1"/>
        </w:rPr>
        <w:t xml:space="preserve"> and limitations</w:t>
      </w:r>
      <w:r w:rsidRPr="00CD6AF8">
        <w:rPr>
          <w:rFonts w:cs="Times New Roman"/>
          <w:b w:val="0"/>
          <w:bCs w:val="0"/>
          <w:color w:val="000000" w:themeColor="text1"/>
        </w:rPr>
        <w:t xml:space="preserve"> of the dietary exposure assessment</w:t>
      </w:r>
      <w:bookmarkEnd w:id="222"/>
      <w:bookmarkEnd w:id="233"/>
      <w:bookmarkEnd w:id="234"/>
      <w:bookmarkEnd w:id="235"/>
      <w:r w:rsidRPr="00CD6AF8">
        <w:rPr>
          <w:rFonts w:cs="Times New Roman"/>
          <w:b w:val="0"/>
          <w:bCs w:val="0"/>
          <w:color w:val="000000" w:themeColor="text1"/>
        </w:rPr>
        <w:t xml:space="preserve"> </w:t>
      </w:r>
    </w:p>
    <w:p w14:paraId="4000045C" w14:textId="77777777" w:rsidR="00CD6AF8" w:rsidRDefault="00CD6AF8" w:rsidP="00CD6AF8">
      <w:r w:rsidRPr="00A72AB1">
        <w:t xml:space="preserve">The aim of the dietary exposure assessment was to make the most realistic estimation of dietary exposures </w:t>
      </w:r>
      <w:r>
        <w:t xml:space="preserve">to jelly mushroom glycolipids </w:t>
      </w:r>
      <w:r w:rsidRPr="00A72AB1">
        <w:t>as possible. However, where significant uncertainties in the data existed, conservative assumptions were generally used to ensure that the estimated dietary exposure was not an underestimate of exposure.</w:t>
      </w:r>
    </w:p>
    <w:p w14:paraId="5BB42725" w14:textId="77777777" w:rsidR="00CD6AF8" w:rsidRPr="00A72AB1" w:rsidRDefault="00CD6AF8" w:rsidP="00CD6AF8"/>
    <w:p w14:paraId="294E9B99" w14:textId="77777777" w:rsidR="00CD6AF8" w:rsidRDefault="00CD6AF8" w:rsidP="00CD6AF8">
      <w:pPr>
        <w:keepNext/>
        <w:keepLines/>
        <w:rPr>
          <w:lang w:eastAsia="en-AU"/>
        </w:rPr>
      </w:pPr>
      <w:r>
        <w:rPr>
          <w:lang w:eastAsia="en-AU"/>
        </w:rPr>
        <w:t>Assumptions made in the dietary exposure assessment include:</w:t>
      </w:r>
    </w:p>
    <w:p w14:paraId="47B3F84D" w14:textId="3BF99371" w:rsidR="00CD6AF8" w:rsidRPr="00E224B4" w:rsidRDefault="00CD6AF8" w:rsidP="00CD6AF8">
      <w:pPr>
        <w:pStyle w:val="ListParagraph"/>
        <w:keepNext/>
        <w:keepLines/>
        <w:widowControl/>
        <w:numPr>
          <w:ilvl w:val="0"/>
          <w:numId w:val="13"/>
        </w:numPr>
        <w:spacing w:after="120"/>
        <w:ind w:left="782" w:hanging="357"/>
        <w:contextualSpacing w:val="0"/>
        <w:rPr>
          <w:lang w:eastAsia="en-AU"/>
        </w:rPr>
      </w:pPr>
      <w:r>
        <w:rPr>
          <w:lang w:eastAsia="en-AU"/>
        </w:rPr>
        <w:t xml:space="preserve">Unless otherwise specified, all foods within a category contain </w:t>
      </w:r>
      <w:r>
        <w:t>jelly mushroom glycolipids</w:t>
      </w:r>
      <w:r>
        <w:rPr>
          <w:lang w:eastAsia="en-AU"/>
        </w:rPr>
        <w:t xml:space="preserve"> at the concentrations listed </w:t>
      </w:r>
      <w:r w:rsidRPr="00E224B4">
        <w:rPr>
          <w:lang w:eastAsia="en-AU"/>
        </w:rPr>
        <w:t xml:space="preserve">in </w:t>
      </w:r>
      <w:r w:rsidRPr="00E224B4">
        <w:rPr>
          <w:lang w:eastAsia="en-AU"/>
        </w:rPr>
        <w:fldChar w:fldCharType="begin"/>
      </w:r>
      <w:r w:rsidRPr="00E224B4">
        <w:rPr>
          <w:lang w:eastAsia="en-AU"/>
        </w:rPr>
        <w:instrText xml:space="preserve"> REF _Ref41997275 \h  \* MERGEFORMAT </w:instrText>
      </w:r>
      <w:r w:rsidRPr="00E224B4">
        <w:rPr>
          <w:lang w:eastAsia="en-AU"/>
        </w:rPr>
        <w:fldChar w:fldCharType="separate"/>
      </w:r>
      <w:r w:rsidR="00E202C8">
        <w:rPr>
          <w:b/>
          <w:bCs/>
          <w:lang w:val="en-US" w:eastAsia="en-AU"/>
        </w:rPr>
        <w:t>Error! Reference source not found.</w:t>
      </w:r>
      <w:r w:rsidRPr="00E224B4">
        <w:rPr>
          <w:lang w:eastAsia="en-AU"/>
        </w:rPr>
        <w:fldChar w:fldCharType="end"/>
      </w:r>
      <w:r w:rsidRPr="00E224B4">
        <w:rPr>
          <w:lang w:eastAsia="en-AU"/>
        </w:rPr>
        <w:t>.</w:t>
      </w:r>
    </w:p>
    <w:p w14:paraId="5E4972E5" w14:textId="77777777" w:rsidR="00CD6AF8" w:rsidRDefault="00CD6AF8" w:rsidP="00CD6AF8">
      <w:pPr>
        <w:pStyle w:val="ListParagraph"/>
        <w:widowControl/>
        <w:numPr>
          <w:ilvl w:val="0"/>
          <w:numId w:val="13"/>
        </w:numPr>
        <w:spacing w:after="120"/>
        <w:ind w:left="782" w:hanging="357"/>
        <w:contextualSpacing w:val="0"/>
        <w:rPr>
          <w:lang w:eastAsia="en-AU"/>
        </w:rPr>
      </w:pPr>
      <w:r>
        <w:rPr>
          <w:lang w:eastAsia="en-AU"/>
        </w:rPr>
        <w:t xml:space="preserve">The request for addition of </w:t>
      </w:r>
      <w:r>
        <w:t>jelly mushroom glycolipids</w:t>
      </w:r>
      <w:r>
        <w:rPr>
          <w:lang w:eastAsia="en-AU"/>
        </w:rPr>
        <w:t xml:space="preserve"> to ‘Water based flavoured drinks’ (14.1.3) does not include the addition to powders. Iced teas and brewed soft drinks are considered separately as they have different proposed concentrations.</w:t>
      </w:r>
    </w:p>
    <w:p w14:paraId="42C99BA0" w14:textId="77777777" w:rsidR="00CD6AF8" w:rsidRDefault="00CD6AF8" w:rsidP="00CD6AF8">
      <w:pPr>
        <w:pStyle w:val="ListParagraph"/>
        <w:widowControl/>
        <w:numPr>
          <w:ilvl w:val="0"/>
          <w:numId w:val="13"/>
        </w:numPr>
        <w:spacing w:after="120"/>
        <w:ind w:left="782" w:hanging="357"/>
        <w:contextualSpacing w:val="0"/>
        <w:rPr>
          <w:lang w:eastAsia="en-AU"/>
        </w:rPr>
      </w:pPr>
      <w:r>
        <w:rPr>
          <w:lang w:eastAsia="en-AU"/>
        </w:rPr>
        <w:t xml:space="preserve">The request for addition of </w:t>
      </w:r>
      <w:r>
        <w:t>jelly mushroom glycolipids</w:t>
      </w:r>
      <w:r>
        <w:rPr>
          <w:lang w:eastAsia="en-AU"/>
        </w:rPr>
        <w:t xml:space="preserve"> to the entirety of food category 14.1 (non-alcoholic beverages) includes mineral waters with flavourings and other additions, however excludes plain mineral waters including bottled/packaged water.</w:t>
      </w:r>
    </w:p>
    <w:p w14:paraId="4B641A32" w14:textId="77777777" w:rsidR="00CD6AF8" w:rsidRDefault="00CD6AF8" w:rsidP="00CD6AF8">
      <w:pPr>
        <w:pStyle w:val="ListParagraph"/>
        <w:widowControl/>
        <w:numPr>
          <w:ilvl w:val="0"/>
          <w:numId w:val="13"/>
        </w:numPr>
        <w:spacing w:after="120"/>
        <w:ind w:left="782" w:hanging="357"/>
        <w:contextualSpacing w:val="0"/>
        <w:rPr>
          <w:lang w:eastAsia="en-AU"/>
        </w:rPr>
      </w:pPr>
      <w:r>
        <w:rPr>
          <w:lang w:eastAsia="en-AU"/>
        </w:rPr>
        <w:t xml:space="preserve">The request for the addition of </w:t>
      </w:r>
      <w:r>
        <w:t>jelly mushroom glycolipids</w:t>
      </w:r>
      <w:r>
        <w:rPr>
          <w:lang w:eastAsia="en-AU"/>
        </w:rPr>
        <w:t xml:space="preserve"> to ‘</w:t>
      </w:r>
      <w:r w:rsidRPr="00B72B24">
        <w:rPr>
          <w:lang w:eastAsia="en-AU"/>
        </w:rPr>
        <w:t>Coffee, coffee substitutes, tea, herbal infusions and similar products</w:t>
      </w:r>
      <w:r>
        <w:rPr>
          <w:lang w:eastAsia="en-AU"/>
        </w:rPr>
        <w:t>’ (14.1.5) includes only pre-packaged ready to drink varieties. All coffees, teas and similar products made directly from powder, grounds, leaf and pre-mixes that are then immediately consumed are excluded from this category (e.g. coffee shop beverages that are made to order; homemade teas and coffees etc.).</w:t>
      </w:r>
    </w:p>
    <w:p w14:paraId="5A4DDE88" w14:textId="77777777" w:rsidR="00CD6AF8" w:rsidRDefault="00CD6AF8" w:rsidP="00CD6AF8">
      <w:pPr>
        <w:pStyle w:val="ListParagraph"/>
        <w:widowControl/>
        <w:numPr>
          <w:ilvl w:val="0"/>
          <w:numId w:val="13"/>
        </w:numPr>
        <w:spacing w:after="120"/>
        <w:ind w:left="782" w:hanging="357"/>
        <w:contextualSpacing w:val="0"/>
        <w:rPr>
          <w:lang w:eastAsia="en-AU"/>
        </w:rPr>
      </w:pPr>
      <w:r>
        <w:rPr>
          <w:lang w:eastAsia="en-AU"/>
        </w:rPr>
        <w:t>National Nutrition Surveys did not contain readily identifiable pre-packaged ready to drink coffees therefore it is assumed that coffee flavoured milk consumption is a suitable proxy for these products.</w:t>
      </w:r>
    </w:p>
    <w:p w14:paraId="785EF699" w14:textId="77777777" w:rsidR="00CD6AF8" w:rsidRDefault="00CD6AF8" w:rsidP="00CD6AF8">
      <w:pPr>
        <w:pStyle w:val="ListParagraph"/>
        <w:widowControl/>
        <w:numPr>
          <w:ilvl w:val="0"/>
          <w:numId w:val="13"/>
        </w:numPr>
        <w:spacing w:after="120"/>
        <w:ind w:left="782" w:hanging="357"/>
        <w:contextualSpacing w:val="0"/>
        <w:rPr>
          <w:lang w:eastAsia="en-AU"/>
        </w:rPr>
      </w:pPr>
      <w:r>
        <w:rPr>
          <w:lang w:eastAsia="en-AU"/>
        </w:rPr>
        <w:t>Since the application only relates to non-alcoholic beverages, it does not include beer, wine, spirits and related products unless it is a non-alcoholic product.</w:t>
      </w:r>
    </w:p>
    <w:p w14:paraId="6E273AB3" w14:textId="77777777" w:rsidR="00CD6AF8" w:rsidRDefault="00CD6AF8" w:rsidP="00CD6AF8">
      <w:pPr>
        <w:pStyle w:val="ListParagraph"/>
        <w:widowControl/>
        <w:numPr>
          <w:ilvl w:val="0"/>
          <w:numId w:val="13"/>
        </w:numPr>
        <w:spacing w:after="120"/>
        <w:ind w:left="782" w:hanging="357"/>
        <w:contextualSpacing w:val="0"/>
        <w:rPr>
          <w:lang w:eastAsia="en-AU"/>
        </w:rPr>
      </w:pPr>
      <w:r>
        <w:rPr>
          <w:lang w:eastAsia="en-AU"/>
        </w:rPr>
        <w:t>While the application did not specifically discuss plant-based milk alternatives and coconut milk/cream (e.g. as used to cook curries) these have been included in the assessment.</w:t>
      </w:r>
    </w:p>
    <w:p w14:paraId="3CD9BB23" w14:textId="22A2ACA5" w:rsidR="00CD6AF8" w:rsidRDefault="00CD6AF8" w:rsidP="00CD6AF8">
      <w:r w:rsidRPr="00A72AB1">
        <w:t xml:space="preserve">In addition to the specific assumptions made in relation to this dietary exposure assessment, there are a number of limitations associated with the nutrition surveys from which the food consumption data used for the assessment are based. A discussion of these limitations is included in </w:t>
      </w:r>
      <w:r w:rsidRPr="00A72AB1" w:rsidDel="005F3244">
        <w:t xml:space="preserve">Section 6 </w:t>
      </w:r>
      <w:r w:rsidRPr="00A72AB1">
        <w:t xml:space="preserve">of the </w:t>
      </w:r>
      <w:r w:rsidRPr="00A72AB1">
        <w:rPr>
          <w:i/>
        </w:rPr>
        <w:t>Principles and Practices of Dietary Exposure Assessment for Food Regulatory Purposes</w:t>
      </w:r>
      <w:r w:rsidRPr="00A72AB1">
        <w:t xml:space="preserve"> (FSANZ 2009).</w:t>
      </w:r>
    </w:p>
    <w:p w14:paraId="55C60870" w14:textId="77777777" w:rsidR="00CD6AF8" w:rsidRPr="00CD6AF8" w:rsidRDefault="00CD6AF8" w:rsidP="00CD6AF8"/>
    <w:bookmarkEnd w:id="223"/>
    <w:bookmarkEnd w:id="224"/>
    <w:bookmarkEnd w:id="225"/>
    <w:bookmarkEnd w:id="226"/>
    <w:bookmarkEnd w:id="227"/>
    <w:bookmarkEnd w:id="228"/>
    <w:bookmarkEnd w:id="229"/>
    <w:bookmarkEnd w:id="230"/>
    <w:bookmarkEnd w:id="231"/>
    <w:bookmarkEnd w:id="232"/>
    <w:p w14:paraId="12344969" w14:textId="08EAFAA9" w:rsidR="00924D28" w:rsidRDefault="00A20AAC" w:rsidP="00690206">
      <w:r>
        <w:t xml:space="preserve">Dietary exposure assessments based on 2011-12 NNPAS, 2002 NZ CNS and 2008 NZ ANS food consumption data provide the best estimation of actual consumption of a food and the resulting estimated dietary exposure assessment for the Australian population aged 2 years and above, as well as the New Zealand populations aged 5–14 years and 15 years and above, respectively. However, it should be noted that NNS data do have limitations. Further details of the limitations relating to dietary exposure assessments undertaken by FSANZ are set out in the FSANZ document, </w:t>
      </w:r>
      <w:r>
        <w:rPr>
          <w:i/>
        </w:rPr>
        <w:t>Principles and Practices of Dietary Exposure Assessment for Food Regulatory Purposes</w:t>
      </w:r>
      <w:r>
        <w:t xml:space="preserve"> (FSANZ 2009).</w:t>
      </w:r>
    </w:p>
    <w:sectPr w:rsidR="00924D28" w:rsidSect="00C931D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E00C3" w14:textId="77777777" w:rsidR="00D52888" w:rsidRDefault="00D52888">
      <w:r>
        <w:separator/>
      </w:r>
    </w:p>
  </w:endnote>
  <w:endnote w:type="continuationSeparator" w:id="0">
    <w:p w14:paraId="13571BF3" w14:textId="77777777" w:rsidR="00D52888" w:rsidRDefault="00D52888">
      <w:r>
        <w:continuationSeparator/>
      </w:r>
    </w:p>
  </w:endnote>
  <w:endnote w:type="continuationNotice" w:id="1">
    <w:p w14:paraId="68B3E484" w14:textId="77777777" w:rsidR="00D52888" w:rsidRDefault="00D52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750A" w14:textId="53C22E58" w:rsidR="00E202C8" w:rsidRDefault="00E202C8" w:rsidP="008A5AEB">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10AC100" w14:textId="77777777" w:rsidR="00E202C8" w:rsidRDefault="00E202C8" w:rsidP="00EF2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636D5" w14:textId="6BF6CD76" w:rsidR="00E202C8" w:rsidRDefault="00E202C8" w:rsidP="00596818">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D52888">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52888">
      <w:rPr>
        <w:b/>
        <w:bCs/>
        <w:noProof/>
      </w:rPr>
      <w:t>1</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E780B" w14:textId="13BBA2C5" w:rsidR="00E202C8" w:rsidRPr="00EF2850" w:rsidRDefault="00E202C8" w:rsidP="00EF28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F212D" w14:textId="4C9B4B59" w:rsidR="00E202C8" w:rsidRPr="00EF2850" w:rsidRDefault="00E202C8" w:rsidP="00EF285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973CA" w14:textId="630D3E8F" w:rsidR="00E202C8" w:rsidRPr="00781BE3" w:rsidRDefault="00E202C8" w:rsidP="00C156A4">
    <w:pPr>
      <w:pStyle w:val="Footer"/>
      <w:jc w:val="center"/>
    </w:pPr>
    <w:r w:rsidRPr="00781BE3">
      <w:rPr>
        <w:rFonts w:ascii="Calibri" w:hAnsi="Calibri" w:cs="Calibri"/>
        <w:b/>
        <w:color w:val="F00000"/>
        <w:sz w:val="24"/>
      </w:rPr>
      <w:t>OFFICIAL</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19B8" w14:textId="103B0375" w:rsidR="00E202C8" w:rsidRPr="00781BE3" w:rsidRDefault="00E202C8" w:rsidP="00C156A4">
    <w:pPr>
      <w:pStyle w:val="Footer"/>
      <w:jc w:val="center"/>
    </w:pPr>
    <w:r w:rsidRPr="00781BE3">
      <w:rPr>
        <w:rFonts w:ascii="Calibri" w:hAnsi="Calibri" w:cs="Calibri"/>
        <w:b/>
        <w:color w:val="F00000"/>
        <w:sz w:val="24"/>
      </w:rPr>
      <w:t>OFFICIAL</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318EE" w14:textId="77777777" w:rsidR="00D52888" w:rsidRDefault="00D52888">
      <w:r>
        <w:separator/>
      </w:r>
    </w:p>
  </w:footnote>
  <w:footnote w:type="continuationSeparator" w:id="0">
    <w:p w14:paraId="169CB063" w14:textId="77777777" w:rsidR="00D52888" w:rsidRDefault="00D52888">
      <w:r>
        <w:continuationSeparator/>
      </w:r>
    </w:p>
  </w:footnote>
  <w:footnote w:type="continuationNotice" w:id="1">
    <w:p w14:paraId="486AE13C" w14:textId="77777777" w:rsidR="00D52888" w:rsidRDefault="00D52888"/>
  </w:footnote>
  <w:footnote w:id="2">
    <w:p w14:paraId="14E8E1F2" w14:textId="77777777" w:rsidR="00E202C8" w:rsidRPr="00814453" w:rsidRDefault="00E202C8" w:rsidP="00F94C8F">
      <w:pPr>
        <w:pStyle w:val="FootnoteText"/>
      </w:pPr>
      <w:r>
        <w:rPr>
          <w:rStyle w:val="FootnoteReference"/>
        </w:rPr>
        <w:footnoteRef/>
      </w:r>
      <w:r>
        <w:t xml:space="preserve"> Harvest is FSANZ’s custom-built dietary modelling program that replaced the previous program, DIAMOND, which does the same calculations just using a different software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B202" w14:textId="406A9041" w:rsidR="00E202C8" w:rsidRDefault="00E202C8">
    <w:pPr>
      <w:pStyle w:val="Header"/>
      <w:jc w:val="center"/>
      <w:rPr>
        <w:b/>
        <w:bCs/>
      </w:rPr>
    </w:pPr>
    <w:r>
      <w:rPr>
        <w:b/>
        <w:bCs/>
      </w:rPr>
      <w:t>BOARD-IN-CONFIDENCE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5B97E" w14:textId="2281EDE5" w:rsidR="00E202C8" w:rsidRPr="00EF2850" w:rsidRDefault="00E202C8" w:rsidP="00EF28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E0686" w14:textId="506EBC75" w:rsidR="00E202C8" w:rsidRPr="00EF2850" w:rsidRDefault="00E202C8" w:rsidP="00EF28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67A6E" w14:textId="3806FB73" w:rsidR="00E202C8" w:rsidRPr="00EF2850" w:rsidRDefault="00E202C8" w:rsidP="00EF28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9225B" w14:textId="0001ECEC" w:rsidR="00E202C8" w:rsidRPr="00781BE3" w:rsidRDefault="00E202C8" w:rsidP="00C156A4">
    <w:pPr>
      <w:pStyle w:val="Header"/>
      <w:rPr>
        <w:rFonts w:ascii="Calibri" w:hAnsi="Calibri" w:cs="Calibri"/>
        <w:color w:val="F00000"/>
        <w:sz w:val="24"/>
      </w:rPr>
    </w:pPr>
    <w:r w:rsidRPr="00781BE3">
      <w:rPr>
        <w:rFonts w:ascii="Calibri" w:hAnsi="Calibri" w:cs="Calibri"/>
        <w:color w:val="F00000"/>
        <w:sz w:val="24"/>
      </w:rPr>
      <w:t>OFFICIAL</w:t>
    </w:r>
  </w:p>
  <w:p w14:paraId="32B7B495" w14:textId="77777777" w:rsidR="00E202C8" w:rsidRPr="00781BE3" w:rsidRDefault="00E202C8" w:rsidP="00C156A4">
    <w:pPr>
      <w:pStyle w:val="Header"/>
    </w:pPr>
    <w:r w:rsidRPr="00781BE3">
      <w:rPr>
        <w:rFonts w:ascii="Calibri" w:hAnsi="Calibri" w:cs="Calibri"/>
        <w:color w:val="F00000"/>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2A139" w14:textId="0116F68B" w:rsidR="00E202C8" w:rsidRPr="00EF2850" w:rsidRDefault="00E202C8" w:rsidP="00EF285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780AB" w14:textId="2AA26CCA" w:rsidR="00E202C8" w:rsidRPr="00781BE3" w:rsidRDefault="00E202C8" w:rsidP="00C156A4">
    <w:pPr>
      <w:pStyle w:val="Header"/>
      <w:rPr>
        <w:rFonts w:ascii="Calibri" w:hAnsi="Calibri" w:cs="Calibri"/>
        <w:color w:val="F00000"/>
        <w:sz w:val="24"/>
      </w:rPr>
    </w:pPr>
    <w:r w:rsidRPr="00781BE3">
      <w:rPr>
        <w:rFonts w:ascii="Calibri" w:hAnsi="Calibri" w:cs="Calibri"/>
        <w:color w:val="F00000"/>
        <w:sz w:val="24"/>
      </w:rPr>
      <w:t>OFFICIAL</w:t>
    </w:r>
  </w:p>
  <w:p w14:paraId="203FFDDC" w14:textId="77777777" w:rsidR="00E202C8" w:rsidRPr="00781BE3" w:rsidRDefault="00E202C8" w:rsidP="00C156A4">
    <w:pPr>
      <w:pStyle w:val="Header"/>
    </w:pPr>
    <w:r w:rsidRPr="00781BE3">
      <w:rPr>
        <w:rFonts w:ascii="Calibri" w:hAnsi="Calibri" w:cs="Calibri"/>
        <w:color w:val="F0000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35DF"/>
    <w:multiLevelType w:val="hybridMultilevel"/>
    <w:tmpl w:val="CC36C3FE"/>
    <w:lvl w:ilvl="0" w:tplc="0809000B">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113AD"/>
    <w:multiLevelType w:val="hybridMultilevel"/>
    <w:tmpl w:val="F0EAD0F2"/>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FA23592"/>
    <w:multiLevelType w:val="hybridMultilevel"/>
    <w:tmpl w:val="B6DE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54271"/>
    <w:multiLevelType w:val="hybridMultilevel"/>
    <w:tmpl w:val="EBCA46A0"/>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ED3431"/>
    <w:multiLevelType w:val="hybridMultilevel"/>
    <w:tmpl w:val="104457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65431"/>
    <w:multiLevelType w:val="hybridMultilevel"/>
    <w:tmpl w:val="17AC9F04"/>
    <w:lvl w:ilvl="0" w:tplc="197AC3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0798E"/>
    <w:multiLevelType w:val="hybridMultilevel"/>
    <w:tmpl w:val="1258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BF0A5F"/>
    <w:multiLevelType w:val="multilevel"/>
    <w:tmpl w:val="2C340C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532E5666"/>
    <w:multiLevelType w:val="hybridMultilevel"/>
    <w:tmpl w:val="DAE04366"/>
    <w:lvl w:ilvl="0" w:tplc="C966045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727382"/>
    <w:multiLevelType w:val="hybridMultilevel"/>
    <w:tmpl w:val="17880244"/>
    <w:lvl w:ilvl="0" w:tplc="5288C434">
      <w:numFmt w:val="bullet"/>
      <w:lvlText w:val="-"/>
      <w:lvlJc w:val="left"/>
      <w:pPr>
        <w:ind w:left="720" w:hanging="360"/>
      </w:pPr>
      <w:rPr>
        <w:rFonts w:ascii="Arial" w:eastAsiaTheme="minorHAnsi" w:hAnsi="Arial" w:cs="Aria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921DED"/>
    <w:multiLevelType w:val="hybridMultilevel"/>
    <w:tmpl w:val="502AB1A8"/>
    <w:lvl w:ilvl="0" w:tplc="0809000B">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29273A"/>
    <w:multiLevelType w:val="hybridMultilevel"/>
    <w:tmpl w:val="EA1CDB06"/>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5" w15:restartNumberingAfterBreak="0">
    <w:nsid w:val="77124C8A"/>
    <w:multiLevelType w:val="hybridMultilevel"/>
    <w:tmpl w:val="77AA11CE"/>
    <w:lvl w:ilvl="0" w:tplc="68A020F4">
      <w:start w:val="1"/>
      <w:numFmt w:val="bullet"/>
      <w:pStyle w:val="FS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10"/>
  </w:num>
  <w:num w:numId="5">
    <w:abstractNumId w:val="0"/>
  </w:num>
  <w:num w:numId="6">
    <w:abstractNumId w:val="12"/>
  </w:num>
  <w:num w:numId="7">
    <w:abstractNumId w:val="5"/>
  </w:num>
  <w:num w:numId="8">
    <w:abstractNumId w:val="6"/>
  </w:num>
  <w:num w:numId="9">
    <w:abstractNumId w:val="3"/>
  </w:num>
  <w:num w:numId="10">
    <w:abstractNumId w:val="14"/>
  </w:num>
  <w:num w:numId="11">
    <w:abstractNumId w:val="7"/>
  </w:num>
  <w:num w:numId="12">
    <w:abstractNumId w:val="15"/>
  </w:num>
  <w:num w:numId="13">
    <w:abstractNumId w:val="1"/>
  </w:num>
  <w:num w:numId="14">
    <w:abstractNumId w:val="11"/>
  </w:num>
  <w:num w:numId="15">
    <w:abstractNumId w:val="4"/>
    <w:lvlOverride w:ilvl="0"/>
    <w:lvlOverride w:ilvl="1">
      <w:startOverride w:val="1"/>
    </w:lvlOverride>
    <w:lvlOverride w:ilvl="2"/>
    <w:lvlOverride w:ilvl="3"/>
    <w:lvlOverride w:ilvl="4"/>
    <w:lvlOverride w:ilvl="5"/>
    <w:lvlOverride w:ilvl="6"/>
    <w:lvlOverride w:ilvl="7"/>
    <w:lvlOverride w:ilvl="8"/>
  </w:num>
  <w:num w:numId="16">
    <w:abstractNumId w:val="8"/>
  </w:num>
  <w:num w:numId="1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0961"/>
    <w:rsid w:val="00001CF2"/>
    <w:rsid w:val="0000201F"/>
    <w:rsid w:val="0000247B"/>
    <w:rsid w:val="00003B29"/>
    <w:rsid w:val="00003C15"/>
    <w:rsid w:val="00004562"/>
    <w:rsid w:val="0000469B"/>
    <w:rsid w:val="000074F4"/>
    <w:rsid w:val="0001029A"/>
    <w:rsid w:val="0001408D"/>
    <w:rsid w:val="000156C2"/>
    <w:rsid w:val="00015A57"/>
    <w:rsid w:val="00015E2B"/>
    <w:rsid w:val="00022AF6"/>
    <w:rsid w:val="00024DAE"/>
    <w:rsid w:val="00025FF5"/>
    <w:rsid w:val="00032C7C"/>
    <w:rsid w:val="00035FF3"/>
    <w:rsid w:val="0003686C"/>
    <w:rsid w:val="0004711D"/>
    <w:rsid w:val="00050AAA"/>
    <w:rsid w:val="00051021"/>
    <w:rsid w:val="00051ED9"/>
    <w:rsid w:val="00054A95"/>
    <w:rsid w:val="00055C1B"/>
    <w:rsid w:val="00055F0B"/>
    <w:rsid w:val="0005677C"/>
    <w:rsid w:val="00057181"/>
    <w:rsid w:val="0006473A"/>
    <w:rsid w:val="00064B2D"/>
    <w:rsid w:val="00064C0B"/>
    <w:rsid w:val="00065F1F"/>
    <w:rsid w:val="00066421"/>
    <w:rsid w:val="00066939"/>
    <w:rsid w:val="00067B1D"/>
    <w:rsid w:val="000712E0"/>
    <w:rsid w:val="00071900"/>
    <w:rsid w:val="00072695"/>
    <w:rsid w:val="00074C51"/>
    <w:rsid w:val="00076D33"/>
    <w:rsid w:val="00085156"/>
    <w:rsid w:val="000855CB"/>
    <w:rsid w:val="00087F02"/>
    <w:rsid w:val="00090E14"/>
    <w:rsid w:val="00092CDA"/>
    <w:rsid w:val="00093041"/>
    <w:rsid w:val="00095259"/>
    <w:rsid w:val="0009554A"/>
    <w:rsid w:val="000A0979"/>
    <w:rsid w:val="000A0C50"/>
    <w:rsid w:val="000A15E2"/>
    <w:rsid w:val="000A27E9"/>
    <w:rsid w:val="000A3566"/>
    <w:rsid w:val="000A3D8B"/>
    <w:rsid w:val="000A428D"/>
    <w:rsid w:val="000A5DF8"/>
    <w:rsid w:val="000A7E38"/>
    <w:rsid w:val="000B5B0E"/>
    <w:rsid w:val="000B6AF2"/>
    <w:rsid w:val="000B74B5"/>
    <w:rsid w:val="000C0333"/>
    <w:rsid w:val="000C145D"/>
    <w:rsid w:val="000C4A87"/>
    <w:rsid w:val="000C5801"/>
    <w:rsid w:val="000D20BD"/>
    <w:rsid w:val="000D2E95"/>
    <w:rsid w:val="000D35DE"/>
    <w:rsid w:val="000D6FD4"/>
    <w:rsid w:val="000D771B"/>
    <w:rsid w:val="000E0AE4"/>
    <w:rsid w:val="000E2C26"/>
    <w:rsid w:val="000E3D3A"/>
    <w:rsid w:val="000E3DBC"/>
    <w:rsid w:val="000E40AB"/>
    <w:rsid w:val="000E68ED"/>
    <w:rsid w:val="000F24F4"/>
    <w:rsid w:val="000F31F3"/>
    <w:rsid w:val="000F3A8B"/>
    <w:rsid w:val="000F3D5F"/>
    <w:rsid w:val="000F4DBF"/>
    <w:rsid w:val="000F5759"/>
    <w:rsid w:val="000F57AE"/>
    <w:rsid w:val="000F7F8B"/>
    <w:rsid w:val="0010108A"/>
    <w:rsid w:val="0011207F"/>
    <w:rsid w:val="00113CE3"/>
    <w:rsid w:val="00115AB8"/>
    <w:rsid w:val="0011638C"/>
    <w:rsid w:val="00117522"/>
    <w:rsid w:val="00117C4F"/>
    <w:rsid w:val="00123185"/>
    <w:rsid w:val="00124CF8"/>
    <w:rsid w:val="0012612A"/>
    <w:rsid w:val="00126271"/>
    <w:rsid w:val="00130B94"/>
    <w:rsid w:val="00136D50"/>
    <w:rsid w:val="00140791"/>
    <w:rsid w:val="00140EDF"/>
    <w:rsid w:val="00144121"/>
    <w:rsid w:val="001469B7"/>
    <w:rsid w:val="001502D2"/>
    <w:rsid w:val="00151B28"/>
    <w:rsid w:val="0015213D"/>
    <w:rsid w:val="00152EA3"/>
    <w:rsid w:val="001542D8"/>
    <w:rsid w:val="00155AE6"/>
    <w:rsid w:val="0015755E"/>
    <w:rsid w:val="00167A89"/>
    <w:rsid w:val="00167DC0"/>
    <w:rsid w:val="0017079C"/>
    <w:rsid w:val="00171A5D"/>
    <w:rsid w:val="00173048"/>
    <w:rsid w:val="00180C41"/>
    <w:rsid w:val="00181D94"/>
    <w:rsid w:val="00182C4C"/>
    <w:rsid w:val="0018574B"/>
    <w:rsid w:val="0018726B"/>
    <w:rsid w:val="0019739E"/>
    <w:rsid w:val="00197D8D"/>
    <w:rsid w:val="00197EB4"/>
    <w:rsid w:val="001A1A75"/>
    <w:rsid w:val="001A2D03"/>
    <w:rsid w:val="001A4492"/>
    <w:rsid w:val="001A4901"/>
    <w:rsid w:val="001A57F4"/>
    <w:rsid w:val="001A5F96"/>
    <w:rsid w:val="001A7E9A"/>
    <w:rsid w:val="001B5404"/>
    <w:rsid w:val="001B7BD8"/>
    <w:rsid w:val="001C27A3"/>
    <w:rsid w:val="001C3C6F"/>
    <w:rsid w:val="001C4A89"/>
    <w:rsid w:val="001C5295"/>
    <w:rsid w:val="001C59CB"/>
    <w:rsid w:val="001C6A7A"/>
    <w:rsid w:val="001D2C98"/>
    <w:rsid w:val="001D470E"/>
    <w:rsid w:val="001D529C"/>
    <w:rsid w:val="001D5992"/>
    <w:rsid w:val="001D5C7F"/>
    <w:rsid w:val="001D5DF1"/>
    <w:rsid w:val="001E09FA"/>
    <w:rsid w:val="001E5330"/>
    <w:rsid w:val="001E6048"/>
    <w:rsid w:val="001E618E"/>
    <w:rsid w:val="001F417C"/>
    <w:rsid w:val="002006A8"/>
    <w:rsid w:val="00201D5D"/>
    <w:rsid w:val="00202C61"/>
    <w:rsid w:val="00203540"/>
    <w:rsid w:val="00204782"/>
    <w:rsid w:val="00212625"/>
    <w:rsid w:val="0021612B"/>
    <w:rsid w:val="0021703D"/>
    <w:rsid w:val="00217D17"/>
    <w:rsid w:val="0022083A"/>
    <w:rsid w:val="00221D07"/>
    <w:rsid w:val="0022666D"/>
    <w:rsid w:val="00227E4A"/>
    <w:rsid w:val="00230977"/>
    <w:rsid w:val="0024501B"/>
    <w:rsid w:val="0024582E"/>
    <w:rsid w:val="00245C56"/>
    <w:rsid w:val="002464A0"/>
    <w:rsid w:val="00250F03"/>
    <w:rsid w:val="002511DD"/>
    <w:rsid w:val="002522BB"/>
    <w:rsid w:val="00252546"/>
    <w:rsid w:val="002547EF"/>
    <w:rsid w:val="00256D65"/>
    <w:rsid w:val="00261A3B"/>
    <w:rsid w:val="00271F00"/>
    <w:rsid w:val="00271FA6"/>
    <w:rsid w:val="00273A80"/>
    <w:rsid w:val="002746B1"/>
    <w:rsid w:val="00281B11"/>
    <w:rsid w:val="0029140C"/>
    <w:rsid w:val="0029204E"/>
    <w:rsid w:val="002920E4"/>
    <w:rsid w:val="00294B52"/>
    <w:rsid w:val="0029631C"/>
    <w:rsid w:val="002A0194"/>
    <w:rsid w:val="002A3314"/>
    <w:rsid w:val="002A45A6"/>
    <w:rsid w:val="002A5DAE"/>
    <w:rsid w:val="002A5F8B"/>
    <w:rsid w:val="002A7F6C"/>
    <w:rsid w:val="002B05DB"/>
    <w:rsid w:val="002B23C6"/>
    <w:rsid w:val="002B2D82"/>
    <w:rsid w:val="002B3C8A"/>
    <w:rsid w:val="002B594B"/>
    <w:rsid w:val="002B7680"/>
    <w:rsid w:val="002C421C"/>
    <w:rsid w:val="002C5474"/>
    <w:rsid w:val="002C624E"/>
    <w:rsid w:val="002D4007"/>
    <w:rsid w:val="002D4493"/>
    <w:rsid w:val="002D6809"/>
    <w:rsid w:val="002D77DD"/>
    <w:rsid w:val="002E6546"/>
    <w:rsid w:val="002E71A2"/>
    <w:rsid w:val="002F6488"/>
    <w:rsid w:val="002F6783"/>
    <w:rsid w:val="002F67E5"/>
    <w:rsid w:val="002F72A5"/>
    <w:rsid w:val="0030016F"/>
    <w:rsid w:val="003008AC"/>
    <w:rsid w:val="003116A1"/>
    <w:rsid w:val="00312725"/>
    <w:rsid w:val="00320839"/>
    <w:rsid w:val="003213F9"/>
    <w:rsid w:val="00323DBF"/>
    <w:rsid w:val="003246A6"/>
    <w:rsid w:val="00326D85"/>
    <w:rsid w:val="003305A2"/>
    <w:rsid w:val="003309A8"/>
    <w:rsid w:val="0033196E"/>
    <w:rsid w:val="00331D9B"/>
    <w:rsid w:val="00332B12"/>
    <w:rsid w:val="003333EF"/>
    <w:rsid w:val="00334DD1"/>
    <w:rsid w:val="00335FE8"/>
    <w:rsid w:val="003403B5"/>
    <w:rsid w:val="0034117C"/>
    <w:rsid w:val="00342C9C"/>
    <w:rsid w:val="00343CDA"/>
    <w:rsid w:val="003445AA"/>
    <w:rsid w:val="00344708"/>
    <w:rsid w:val="00346830"/>
    <w:rsid w:val="00346A25"/>
    <w:rsid w:val="00351B07"/>
    <w:rsid w:val="00352CF2"/>
    <w:rsid w:val="00353CC4"/>
    <w:rsid w:val="00360EB2"/>
    <w:rsid w:val="00361D78"/>
    <w:rsid w:val="00364841"/>
    <w:rsid w:val="003648C4"/>
    <w:rsid w:val="00371B29"/>
    <w:rsid w:val="00374618"/>
    <w:rsid w:val="00376222"/>
    <w:rsid w:val="0037656B"/>
    <w:rsid w:val="003800FC"/>
    <w:rsid w:val="003808D6"/>
    <w:rsid w:val="00390C39"/>
    <w:rsid w:val="00391769"/>
    <w:rsid w:val="00394151"/>
    <w:rsid w:val="0039430F"/>
    <w:rsid w:val="003953E1"/>
    <w:rsid w:val="003956B3"/>
    <w:rsid w:val="00396854"/>
    <w:rsid w:val="003A2852"/>
    <w:rsid w:val="003A68BE"/>
    <w:rsid w:val="003B1805"/>
    <w:rsid w:val="003B30F7"/>
    <w:rsid w:val="003B3C9D"/>
    <w:rsid w:val="003B78E0"/>
    <w:rsid w:val="003C11C1"/>
    <w:rsid w:val="003C21F1"/>
    <w:rsid w:val="003C4969"/>
    <w:rsid w:val="003C6684"/>
    <w:rsid w:val="003C73E0"/>
    <w:rsid w:val="003C7857"/>
    <w:rsid w:val="003D1377"/>
    <w:rsid w:val="003D2781"/>
    <w:rsid w:val="003D2B26"/>
    <w:rsid w:val="003D3C15"/>
    <w:rsid w:val="003D49CB"/>
    <w:rsid w:val="003E268D"/>
    <w:rsid w:val="003E41D5"/>
    <w:rsid w:val="003E46BA"/>
    <w:rsid w:val="003E7D22"/>
    <w:rsid w:val="003F0988"/>
    <w:rsid w:val="003F5030"/>
    <w:rsid w:val="003F74C1"/>
    <w:rsid w:val="00400522"/>
    <w:rsid w:val="00402624"/>
    <w:rsid w:val="00405B1A"/>
    <w:rsid w:val="00406EB2"/>
    <w:rsid w:val="00407F52"/>
    <w:rsid w:val="004100CC"/>
    <w:rsid w:val="00410BFF"/>
    <w:rsid w:val="00410C76"/>
    <w:rsid w:val="00411907"/>
    <w:rsid w:val="004136D0"/>
    <w:rsid w:val="00413CA8"/>
    <w:rsid w:val="00417EE3"/>
    <w:rsid w:val="004207EB"/>
    <w:rsid w:val="004226C0"/>
    <w:rsid w:val="00424CAE"/>
    <w:rsid w:val="004325ED"/>
    <w:rsid w:val="00437175"/>
    <w:rsid w:val="00437276"/>
    <w:rsid w:val="00437A67"/>
    <w:rsid w:val="00437F89"/>
    <w:rsid w:val="00440877"/>
    <w:rsid w:val="00444173"/>
    <w:rsid w:val="00447DE6"/>
    <w:rsid w:val="004513EF"/>
    <w:rsid w:val="00453B86"/>
    <w:rsid w:val="00456B54"/>
    <w:rsid w:val="00456F82"/>
    <w:rsid w:val="00464643"/>
    <w:rsid w:val="00471ED1"/>
    <w:rsid w:val="00476918"/>
    <w:rsid w:val="004847A7"/>
    <w:rsid w:val="00485E77"/>
    <w:rsid w:val="00486793"/>
    <w:rsid w:val="0049078C"/>
    <w:rsid w:val="00493167"/>
    <w:rsid w:val="0049385D"/>
    <w:rsid w:val="004A2037"/>
    <w:rsid w:val="004A2C3D"/>
    <w:rsid w:val="004A609B"/>
    <w:rsid w:val="004A7052"/>
    <w:rsid w:val="004B40DF"/>
    <w:rsid w:val="004B439F"/>
    <w:rsid w:val="004B571F"/>
    <w:rsid w:val="004B6098"/>
    <w:rsid w:val="004C28B5"/>
    <w:rsid w:val="004C2CE7"/>
    <w:rsid w:val="004C3FD2"/>
    <w:rsid w:val="004C6502"/>
    <w:rsid w:val="004D2D19"/>
    <w:rsid w:val="004D3D1D"/>
    <w:rsid w:val="004D434D"/>
    <w:rsid w:val="004D54C9"/>
    <w:rsid w:val="004D75ED"/>
    <w:rsid w:val="004E42A1"/>
    <w:rsid w:val="004E4B96"/>
    <w:rsid w:val="004E7163"/>
    <w:rsid w:val="004E7E70"/>
    <w:rsid w:val="004F0428"/>
    <w:rsid w:val="004F4D59"/>
    <w:rsid w:val="004F4F98"/>
    <w:rsid w:val="004F69F6"/>
    <w:rsid w:val="004F79AC"/>
    <w:rsid w:val="0050167D"/>
    <w:rsid w:val="005017CF"/>
    <w:rsid w:val="00501C31"/>
    <w:rsid w:val="005029AA"/>
    <w:rsid w:val="0050667F"/>
    <w:rsid w:val="00506FB9"/>
    <w:rsid w:val="00507B6D"/>
    <w:rsid w:val="00510704"/>
    <w:rsid w:val="00511B78"/>
    <w:rsid w:val="00514742"/>
    <w:rsid w:val="005207D8"/>
    <w:rsid w:val="00521426"/>
    <w:rsid w:val="0052452D"/>
    <w:rsid w:val="00526F27"/>
    <w:rsid w:val="005329F9"/>
    <w:rsid w:val="0053464E"/>
    <w:rsid w:val="00534D37"/>
    <w:rsid w:val="0054172A"/>
    <w:rsid w:val="0054272D"/>
    <w:rsid w:val="0054330A"/>
    <w:rsid w:val="00543BA2"/>
    <w:rsid w:val="00553AD2"/>
    <w:rsid w:val="00555002"/>
    <w:rsid w:val="00555875"/>
    <w:rsid w:val="00562917"/>
    <w:rsid w:val="0057087E"/>
    <w:rsid w:val="00574ADA"/>
    <w:rsid w:val="00575843"/>
    <w:rsid w:val="0057615C"/>
    <w:rsid w:val="00585F4E"/>
    <w:rsid w:val="00586228"/>
    <w:rsid w:val="005908EE"/>
    <w:rsid w:val="005937D3"/>
    <w:rsid w:val="00594FF7"/>
    <w:rsid w:val="00596818"/>
    <w:rsid w:val="00597C5E"/>
    <w:rsid w:val="005A102E"/>
    <w:rsid w:val="005A14DA"/>
    <w:rsid w:val="005A1D97"/>
    <w:rsid w:val="005A3BE3"/>
    <w:rsid w:val="005A58F3"/>
    <w:rsid w:val="005A59D4"/>
    <w:rsid w:val="005A5C6E"/>
    <w:rsid w:val="005A6713"/>
    <w:rsid w:val="005B3A96"/>
    <w:rsid w:val="005B5B4D"/>
    <w:rsid w:val="005B6AF4"/>
    <w:rsid w:val="005B7A73"/>
    <w:rsid w:val="005C04CB"/>
    <w:rsid w:val="005D16AD"/>
    <w:rsid w:val="005D1D84"/>
    <w:rsid w:val="005D72E1"/>
    <w:rsid w:val="005E0906"/>
    <w:rsid w:val="005E1CBD"/>
    <w:rsid w:val="005E205D"/>
    <w:rsid w:val="005E6E16"/>
    <w:rsid w:val="005E7B5C"/>
    <w:rsid w:val="005F27E2"/>
    <w:rsid w:val="005F2BDB"/>
    <w:rsid w:val="005F2F4F"/>
    <w:rsid w:val="005F400E"/>
    <w:rsid w:val="005F4221"/>
    <w:rsid w:val="005F50A0"/>
    <w:rsid w:val="005F5FF5"/>
    <w:rsid w:val="005F61E6"/>
    <w:rsid w:val="005F66C2"/>
    <w:rsid w:val="005F7342"/>
    <w:rsid w:val="005F7B7D"/>
    <w:rsid w:val="00601F70"/>
    <w:rsid w:val="00603A08"/>
    <w:rsid w:val="0060715C"/>
    <w:rsid w:val="00610335"/>
    <w:rsid w:val="00610A3C"/>
    <w:rsid w:val="00611043"/>
    <w:rsid w:val="00612D72"/>
    <w:rsid w:val="00620E89"/>
    <w:rsid w:val="00622670"/>
    <w:rsid w:val="00622C8F"/>
    <w:rsid w:val="00626DB7"/>
    <w:rsid w:val="00627F48"/>
    <w:rsid w:val="00630C23"/>
    <w:rsid w:val="006350B8"/>
    <w:rsid w:val="006352D6"/>
    <w:rsid w:val="00635D4F"/>
    <w:rsid w:val="0064345A"/>
    <w:rsid w:val="0064573F"/>
    <w:rsid w:val="006460AB"/>
    <w:rsid w:val="00647E8D"/>
    <w:rsid w:val="00652513"/>
    <w:rsid w:val="00654A42"/>
    <w:rsid w:val="00663FCF"/>
    <w:rsid w:val="006652A2"/>
    <w:rsid w:val="00676E6C"/>
    <w:rsid w:val="00681AF3"/>
    <w:rsid w:val="00681F3C"/>
    <w:rsid w:val="006831A7"/>
    <w:rsid w:val="006833B4"/>
    <w:rsid w:val="00684434"/>
    <w:rsid w:val="006866E4"/>
    <w:rsid w:val="00690206"/>
    <w:rsid w:val="006926F1"/>
    <w:rsid w:val="006937FF"/>
    <w:rsid w:val="00694E81"/>
    <w:rsid w:val="0069654B"/>
    <w:rsid w:val="006A0373"/>
    <w:rsid w:val="006A148B"/>
    <w:rsid w:val="006A48A7"/>
    <w:rsid w:val="006A4F83"/>
    <w:rsid w:val="006A5E0F"/>
    <w:rsid w:val="006B3037"/>
    <w:rsid w:val="006B4BA1"/>
    <w:rsid w:val="006B5EBE"/>
    <w:rsid w:val="006C5CF5"/>
    <w:rsid w:val="006C767F"/>
    <w:rsid w:val="006C7E3F"/>
    <w:rsid w:val="006D0CD5"/>
    <w:rsid w:val="006D0F5C"/>
    <w:rsid w:val="006D3DE5"/>
    <w:rsid w:val="006D7405"/>
    <w:rsid w:val="006E0E20"/>
    <w:rsid w:val="006E1953"/>
    <w:rsid w:val="006F2743"/>
    <w:rsid w:val="006F4A82"/>
    <w:rsid w:val="006F72C9"/>
    <w:rsid w:val="006F7B7F"/>
    <w:rsid w:val="0070373B"/>
    <w:rsid w:val="00704050"/>
    <w:rsid w:val="0070602D"/>
    <w:rsid w:val="00707CEF"/>
    <w:rsid w:val="00711003"/>
    <w:rsid w:val="0071782A"/>
    <w:rsid w:val="0072006E"/>
    <w:rsid w:val="00723F3A"/>
    <w:rsid w:val="00724FA4"/>
    <w:rsid w:val="007261FD"/>
    <w:rsid w:val="00730800"/>
    <w:rsid w:val="0074223A"/>
    <w:rsid w:val="0075122D"/>
    <w:rsid w:val="00752AB9"/>
    <w:rsid w:val="007532C3"/>
    <w:rsid w:val="00753BD5"/>
    <w:rsid w:val="00755C1A"/>
    <w:rsid w:val="00756031"/>
    <w:rsid w:val="007562A0"/>
    <w:rsid w:val="007602AA"/>
    <w:rsid w:val="00760956"/>
    <w:rsid w:val="007652EF"/>
    <w:rsid w:val="00765424"/>
    <w:rsid w:val="00766BE4"/>
    <w:rsid w:val="007723D9"/>
    <w:rsid w:val="00772BDC"/>
    <w:rsid w:val="00776096"/>
    <w:rsid w:val="00777FF7"/>
    <w:rsid w:val="00780792"/>
    <w:rsid w:val="00780BF3"/>
    <w:rsid w:val="00782F56"/>
    <w:rsid w:val="007833F0"/>
    <w:rsid w:val="00783CB4"/>
    <w:rsid w:val="007873DD"/>
    <w:rsid w:val="00790428"/>
    <w:rsid w:val="007957F2"/>
    <w:rsid w:val="00796562"/>
    <w:rsid w:val="00797739"/>
    <w:rsid w:val="007A15BB"/>
    <w:rsid w:val="007A3D5C"/>
    <w:rsid w:val="007A44B4"/>
    <w:rsid w:val="007A5872"/>
    <w:rsid w:val="007A7D3D"/>
    <w:rsid w:val="007B01C7"/>
    <w:rsid w:val="007B1C07"/>
    <w:rsid w:val="007B225D"/>
    <w:rsid w:val="007B2D8F"/>
    <w:rsid w:val="007B40DB"/>
    <w:rsid w:val="007B4102"/>
    <w:rsid w:val="007C1616"/>
    <w:rsid w:val="007C174F"/>
    <w:rsid w:val="007C1C64"/>
    <w:rsid w:val="007C5089"/>
    <w:rsid w:val="007C7C4C"/>
    <w:rsid w:val="007D03EA"/>
    <w:rsid w:val="007D0B54"/>
    <w:rsid w:val="007D63F4"/>
    <w:rsid w:val="007E1B54"/>
    <w:rsid w:val="007E48BC"/>
    <w:rsid w:val="007E7489"/>
    <w:rsid w:val="007E79F7"/>
    <w:rsid w:val="007F25A3"/>
    <w:rsid w:val="007F3630"/>
    <w:rsid w:val="007F5E57"/>
    <w:rsid w:val="007F7A26"/>
    <w:rsid w:val="00803776"/>
    <w:rsid w:val="00807559"/>
    <w:rsid w:val="008079AF"/>
    <w:rsid w:val="00810E3C"/>
    <w:rsid w:val="00812695"/>
    <w:rsid w:val="008168A2"/>
    <w:rsid w:val="00816D83"/>
    <w:rsid w:val="00822BF4"/>
    <w:rsid w:val="00822D1A"/>
    <w:rsid w:val="00827926"/>
    <w:rsid w:val="00827C9F"/>
    <w:rsid w:val="0083249C"/>
    <w:rsid w:val="008350F1"/>
    <w:rsid w:val="00837AED"/>
    <w:rsid w:val="0084191E"/>
    <w:rsid w:val="008450BC"/>
    <w:rsid w:val="00852133"/>
    <w:rsid w:val="0085334B"/>
    <w:rsid w:val="00861131"/>
    <w:rsid w:val="00862CC8"/>
    <w:rsid w:val="008655C9"/>
    <w:rsid w:val="00870214"/>
    <w:rsid w:val="00870641"/>
    <w:rsid w:val="00873579"/>
    <w:rsid w:val="0087538B"/>
    <w:rsid w:val="00876B33"/>
    <w:rsid w:val="008802AA"/>
    <w:rsid w:val="00881A2B"/>
    <w:rsid w:val="0088487A"/>
    <w:rsid w:val="008853B0"/>
    <w:rsid w:val="00885C51"/>
    <w:rsid w:val="00885EB0"/>
    <w:rsid w:val="00886415"/>
    <w:rsid w:val="00890548"/>
    <w:rsid w:val="00891F4B"/>
    <w:rsid w:val="0089264A"/>
    <w:rsid w:val="00893B39"/>
    <w:rsid w:val="00896B85"/>
    <w:rsid w:val="008A05AC"/>
    <w:rsid w:val="008A22BE"/>
    <w:rsid w:val="008A5AEB"/>
    <w:rsid w:val="008B127D"/>
    <w:rsid w:val="008B54D1"/>
    <w:rsid w:val="008B5F64"/>
    <w:rsid w:val="008C15B9"/>
    <w:rsid w:val="008C1B36"/>
    <w:rsid w:val="008C279D"/>
    <w:rsid w:val="008C2CAE"/>
    <w:rsid w:val="008C4B3A"/>
    <w:rsid w:val="008C5B49"/>
    <w:rsid w:val="008C6722"/>
    <w:rsid w:val="008C6F73"/>
    <w:rsid w:val="008D042B"/>
    <w:rsid w:val="008D06C6"/>
    <w:rsid w:val="008D0E3F"/>
    <w:rsid w:val="008D132F"/>
    <w:rsid w:val="008D3A83"/>
    <w:rsid w:val="008D44B9"/>
    <w:rsid w:val="008D51A3"/>
    <w:rsid w:val="008D7BAA"/>
    <w:rsid w:val="008E0B60"/>
    <w:rsid w:val="008E2559"/>
    <w:rsid w:val="008E6250"/>
    <w:rsid w:val="008F1399"/>
    <w:rsid w:val="008F3095"/>
    <w:rsid w:val="008F3CB1"/>
    <w:rsid w:val="008F73B4"/>
    <w:rsid w:val="00902785"/>
    <w:rsid w:val="00902AF6"/>
    <w:rsid w:val="0090723B"/>
    <w:rsid w:val="00910358"/>
    <w:rsid w:val="009104E0"/>
    <w:rsid w:val="009105AD"/>
    <w:rsid w:val="0091136F"/>
    <w:rsid w:val="00912039"/>
    <w:rsid w:val="00913077"/>
    <w:rsid w:val="00914DC7"/>
    <w:rsid w:val="00920249"/>
    <w:rsid w:val="00924C80"/>
    <w:rsid w:val="00924D28"/>
    <w:rsid w:val="00925402"/>
    <w:rsid w:val="00927FD8"/>
    <w:rsid w:val="009306ED"/>
    <w:rsid w:val="00931DEF"/>
    <w:rsid w:val="00932F14"/>
    <w:rsid w:val="00933588"/>
    <w:rsid w:val="0094247F"/>
    <w:rsid w:val="00942D60"/>
    <w:rsid w:val="00942E14"/>
    <w:rsid w:val="009442B2"/>
    <w:rsid w:val="00945D55"/>
    <w:rsid w:val="00951808"/>
    <w:rsid w:val="00953B5B"/>
    <w:rsid w:val="009562E2"/>
    <w:rsid w:val="0095658F"/>
    <w:rsid w:val="00956616"/>
    <w:rsid w:val="009603DC"/>
    <w:rsid w:val="00962A2C"/>
    <w:rsid w:val="0096523B"/>
    <w:rsid w:val="00966457"/>
    <w:rsid w:val="009668CA"/>
    <w:rsid w:val="00966EE3"/>
    <w:rsid w:val="00967778"/>
    <w:rsid w:val="009711A6"/>
    <w:rsid w:val="00971F09"/>
    <w:rsid w:val="00972D06"/>
    <w:rsid w:val="0097474C"/>
    <w:rsid w:val="00977DB9"/>
    <w:rsid w:val="009802A1"/>
    <w:rsid w:val="00980BBE"/>
    <w:rsid w:val="00980F3F"/>
    <w:rsid w:val="0098178F"/>
    <w:rsid w:val="009835F8"/>
    <w:rsid w:val="00990528"/>
    <w:rsid w:val="00992507"/>
    <w:rsid w:val="00995B9F"/>
    <w:rsid w:val="009A0B76"/>
    <w:rsid w:val="009A1FBF"/>
    <w:rsid w:val="009A34B2"/>
    <w:rsid w:val="009A391C"/>
    <w:rsid w:val="009A50F2"/>
    <w:rsid w:val="009B13F1"/>
    <w:rsid w:val="009B1BCB"/>
    <w:rsid w:val="009C4454"/>
    <w:rsid w:val="009D3BA3"/>
    <w:rsid w:val="009D7328"/>
    <w:rsid w:val="009E0A61"/>
    <w:rsid w:val="009E3010"/>
    <w:rsid w:val="009E3E6E"/>
    <w:rsid w:val="009F007E"/>
    <w:rsid w:val="009F1B22"/>
    <w:rsid w:val="009F7065"/>
    <w:rsid w:val="00A000ED"/>
    <w:rsid w:val="00A023D4"/>
    <w:rsid w:val="00A03938"/>
    <w:rsid w:val="00A066B4"/>
    <w:rsid w:val="00A06DB8"/>
    <w:rsid w:val="00A12E50"/>
    <w:rsid w:val="00A137F2"/>
    <w:rsid w:val="00A20AAC"/>
    <w:rsid w:val="00A313F5"/>
    <w:rsid w:val="00A4175D"/>
    <w:rsid w:val="00A44133"/>
    <w:rsid w:val="00A444DD"/>
    <w:rsid w:val="00A445C6"/>
    <w:rsid w:val="00A45F72"/>
    <w:rsid w:val="00A51164"/>
    <w:rsid w:val="00A522C3"/>
    <w:rsid w:val="00A55141"/>
    <w:rsid w:val="00A55AD0"/>
    <w:rsid w:val="00A56DC7"/>
    <w:rsid w:val="00A6023B"/>
    <w:rsid w:val="00A62A43"/>
    <w:rsid w:val="00A651A0"/>
    <w:rsid w:val="00A66C56"/>
    <w:rsid w:val="00A7065E"/>
    <w:rsid w:val="00A74FD1"/>
    <w:rsid w:val="00A77A91"/>
    <w:rsid w:val="00A77BFA"/>
    <w:rsid w:val="00A80098"/>
    <w:rsid w:val="00A804FD"/>
    <w:rsid w:val="00A835BC"/>
    <w:rsid w:val="00A83D8A"/>
    <w:rsid w:val="00A84A58"/>
    <w:rsid w:val="00A851E9"/>
    <w:rsid w:val="00A85C3A"/>
    <w:rsid w:val="00A87B38"/>
    <w:rsid w:val="00A901F2"/>
    <w:rsid w:val="00A90724"/>
    <w:rsid w:val="00A91220"/>
    <w:rsid w:val="00A9190F"/>
    <w:rsid w:val="00A978C2"/>
    <w:rsid w:val="00AA2C10"/>
    <w:rsid w:val="00AA5E3A"/>
    <w:rsid w:val="00AA62B2"/>
    <w:rsid w:val="00AB2E2D"/>
    <w:rsid w:val="00AB32E0"/>
    <w:rsid w:val="00AB3E19"/>
    <w:rsid w:val="00AB4223"/>
    <w:rsid w:val="00AB5489"/>
    <w:rsid w:val="00AB76B7"/>
    <w:rsid w:val="00AC488C"/>
    <w:rsid w:val="00AD15CE"/>
    <w:rsid w:val="00AD4112"/>
    <w:rsid w:val="00AD4245"/>
    <w:rsid w:val="00AD5F66"/>
    <w:rsid w:val="00AD648A"/>
    <w:rsid w:val="00AE44AE"/>
    <w:rsid w:val="00AE5FD5"/>
    <w:rsid w:val="00AE7731"/>
    <w:rsid w:val="00AF06FC"/>
    <w:rsid w:val="00AF13FE"/>
    <w:rsid w:val="00AF3391"/>
    <w:rsid w:val="00AF387F"/>
    <w:rsid w:val="00AF458D"/>
    <w:rsid w:val="00AF5599"/>
    <w:rsid w:val="00AF7A25"/>
    <w:rsid w:val="00B00E7F"/>
    <w:rsid w:val="00B023A8"/>
    <w:rsid w:val="00B05A27"/>
    <w:rsid w:val="00B06935"/>
    <w:rsid w:val="00B10448"/>
    <w:rsid w:val="00B12F1E"/>
    <w:rsid w:val="00B135C5"/>
    <w:rsid w:val="00B1716D"/>
    <w:rsid w:val="00B173DA"/>
    <w:rsid w:val="00B21DCC"/>
    <w:rsid w:val="00B2305E"/>
    <w:rsid w:val="00B2327C"/>
    <w:rsid w:val="00B24A0E"/>
    <w:rsid w:val="00B25F37"/>
    <w:rsid w:val="00B30CEA"/>
    <w:rsid w:val="00B3265D"/>
    <w:rsid w:val="00B36476"/>
    <w:rsid w:val="00B37064"/>
    <w:rsid w:val="00B37BF0"/>
    <w:rsid w:val="00B427AB"/>
    <w:rsid w:val="00B44422"/>
    <w:rsid w:val="00B444C4"/>
    <w:rsid w:val="00B46EA0"/>
    <w:rsid w:val="00B518A6"/>
    <w:rsid w:val="00B54D61"/>
    <w:rsid w:val="00B56FB5"/>
    <w:rsid w:val="00B60247"/>
    <w:rsid w:val="00B6165C"/>
    <w:rsid w:val="00B62E90"/>
    <w:rsid w:val="00B65655"/>
    <w:rsid w:val="00B72BF6"/>
    <w:rsid w:val="00B731D3"/>
    <w:rsid w:val="00B77C3F"/>
    <w:rsid w:val="00B8090A"/>
    <w:rsid w:val="00B839A3"/>
    <w:rsid w:val="00B87286"/>
    <w:rsid w:val="00B902BD"/>
    <w:rsid w:val="00B909BC"/>
    <w:rsid w:val="00B91F21"/>
    <w:rsid w:val="00B9267D"/>
    <w:rsid w:val="00B932A0"/>
    <w:rsid w:val="00B94714"/>
    <w:rsid w:val="00B956D2"/>
    <w:rsid w:val="00BA24E2"/>
    <w:rsid w:val="00BA619D"/>
    <w:rsid w:val="00BA78BF"/>
    <w:rsid w:val="00BB47AD"/>
    <w:rsid w:val="00BB4E74"/>
    <w:rsid w:val="00BB4F9C"/>
    <w:rsid w:val="00BB596C"/>
    <w:rsid w:val="00BC55CF"/>
    <w:rsid w:val="00BD1C2F"/>
    <w:rsid w:val="00BD1F8E"/>
    <w:rsid w:val="00BD2A39"/>
    <w:rsid w:val="00BD2E80"/>
    <w:rsid w:val="00BD5EF5"/>
    <w:rsid w:val="00BD6BC5"/>
    <w:rsid w:val="00BE11B8"/>
    <w:rsid w:val="00BE7989"/>
    <w:rsid w:val="00BF0F78"/>
    <w:rsid w:val="00BF14A0"/>
    <w:rsid w:val="00BF154F"/>
    <w:rsid w:val="00BF1B19"/>
    <w:rsid w:val="00BF7FF0"/>
    <w:rsid w:val="00C03F87"/>
    <w:rsid w:val="00C04A58"/>
    <w:rsid w:val="00C0529B"/>
    <w:rsid w:val="00C057F4"/>
    <w:rsid w:val="00C06834"/>
    <w:rsid w:val="00C12356"/>
    <w:rsid w:val="00C12502"/>
    <w:rsid w:val="00C150CE"/>
    <w:rsid w:val="00C156A4"/>
    <w:rsid w:val="00C15A45"/>
    <w:rsid w:val="00C16C65"/>
    <w:rsid w:val="00C20866"/>
    <w:rsid w:val="00C273CE"/>
    <w:rsid w:val="00C27DAE"/>
    <w:rsid w:val="00C31522"/>
    <w:rsid w:val="00C35C87"/>
    <w:rsid w:val="00C36578"/>
    <w:rsid w:val="00C37F89"/>
    <w:rsid w:val="00C40AA5"/>
    <w:rsid w:val="00C42A6F"/>
    <w:rsid w:val="00C4302D"/>
    <w:rsid w:val="00C4542E"/>
    <w:rsid w:val="00C46F70"/>
    <w:rsid w:val="00C476D0"/>
    <w:rsid w:val="00C50D2C"/>
    <w:rsid w:val="00C575C1"/>
    <w:rsid w:val="00C60B17"/>
    <w:rsid w:val="00C6169A"/>
    <w:rsid w:val="00C61AC1"/>
    <w:rsid w:val="00C62DCE"/>
    <w:rsid w:val="00C6311F"/>
    <w:rsid w:val="00C65FC8"/>
    <w:rsid w:val="00C72DE3"/>
    <w:rsid w:val="00C75F9A"/>
    <w:rsid w:val="00C77656"/>
    <w:rsid w:val="00C836E3"/>
    <w:rsid w:val="00C85B8E"/>
    <w:rsid w:val="00C86577"/>
    <w:rsid w:val="00C87575"/>
    <w:rsid w:val="00C90874"/>
    <w:rsid w:val="00C90D90"/>
    <w:rsid w:val="00C92E07"/>
    <w:rsid w:val="00C931D4"/>
    <w:rsid w:val="00C93D62"/>
    <w:rsid w:val="00C95139"/>
    <w:rsid w:val="00C96562"/>
    <w:rsid w:val="00C96868"/>
    <w:rsid w:val="00CA0416"/>
    <w:rsid w:val="00CA27CC"/>
    <w:rsid w:val="00CA641D"/>
    <w:rsid w:val="00CA78C2"/>
    <w:rsid w:val="00CA7A5A"/>
    <w:rsid w:val="00CB1053"/>
    <w:rsid w:val="00CB28EC"/>
    <w:rsid w:val="00CB2D1B"/>
    <w:rsid w:val="00CB3BE2"/>
    <w:rsid w:val="00CB7BB7"/>
    <w:rsid w:val="00CC4792"/>
    <w:rsid w:val="00CC4BD5"/>
    <w:rsid w:val="00CC560B"/>
    <w:rsid w:val="00CC6208"/>
    <w:rsid w:val="00CC75E2"/>
    <w:rsid w:val="00CD46EB"/>
    <w:rsid w:val="00CD6AF8"/>
    <w:rsid w:val="00CD7EBF"/>
    <w:rsid w:val="00CE2229"/>
    <w:rsid w:val="00CE2318"/>
    <w:rsid w:val="00CE25CC"/>
    <w:rsid w:val="00CE4343"/>
    <w:rsid w:val="00CE4F04"/>
    <w:rsid w:val="00CE6B1A"/>
    <w:rsid w:val="00CF284A"/>
    <w:rsid w:val="00CF5E4F"/>
    <w:rsid w:val="00D0202C"/>
    <w:rsid w:val="00D03C5B"/>
    <w:rsid w:val="00D043FA"/>
    <w:rsid w:val="00D056F1"/>
    <w:rsid w:val="00D06833"/>
    <w:rsid w:val="00D074E9"/>
    <w:rsid w:val="00D11171"/>
    <w:rsid w:val="00D11C2B"/>
    <w:rsid w:val="00D124A9"/>
    <w:rsid w:val="00D135FD"/>
    <w:rsid w:val="00D13F5D"/>
    <w:rsid w:val="00D14743"/>
    <w:rsid w:val="00D14905"/>
    <w:rsid w:val="00D14E3B"/>
    <w:rsid w:val="00D1581A"/>
    <w:rsid w:val="00D15AB2"/>
    <w:rsid w:val="00D16384"/>
    <w:rsid w:val="00D16FBB"/>
    <w:rsid w:val="00D218B4"/>
    <w:rsid w:val="00D22F3C"/>
    <w:rsid w:val="00D23DB6"/>
    <w:rsid w:val="00D2601B"/>
    <w:rsid w:val="00D27A1B"/>
    <w:rsid w:val="00D27F50"/>
    <w:rsid w:val="00D30655"/>
    <w:rsid w:val="00D34CFC"/>
    <w:rsid w:val="00D36F28"/>
    <w:rsid w:val="00D41BDE"/>
    <w:rsid w:val="00D433BB"/>
    <w:rsid w:val="00D43FE6"/>
    <w:rsid w:val="00D45074"/>
    <w:rsid w:val="00D50D46"/>
    <w:rsid w:val="00D51340"/>
    <w:rsid w:val="00D51A95"/>
    <w:rsid w:val="00D52888"/>
    <w:rsid w:val="00D533CB"/>
    <w:rsid w:val="00D54D9B"/>
    <w:rsid w:val="00D60568"/>
    <w:rsid w:val="00D619B6"/>
    <w:rsid w:val="00D65520"/>
    <w:rsid w:val="00D65C44"/>
    <w:rsid w:val="00D705CA"/>
    <w:rsid w:val="00D70C7A"/>
    <w:rsid w:val="00D7122C"/>
    <w:rsid w:val="00D74D72"/>
    <w:rsid w:val="00D762AD"/>
    <w:rsid w:val="00D7717D"/>
    <w:rsid w:val="00D81D38"/>
    <w:rsid w:val="00D824A8"/>
    <w:rsid w:val="00D8428A"/>
    <w:rsid w:val="00D85107"/>
    <w:rsid w:val="00D91DC0"/>
    <w:rsid w:val="00D921E9"/>
    <w:rsid w:val="00D926E4"/>
    <w:rsid w:val="00D927F9"/>
    <w:rsid w:val="00D92E5B"/>
    <w:rsid w:val="00D9620E"/>
    <w:rsid w:val="00DA05EE"/>
    <w:rsid w:val="00DA10A8"/>
    <w:rsid w:val="00DA1D00"/>
    <w:rsid w:val="00DA268D"/>
    <w:rsid w:val="00DA3D8C"/>
    <w:rsid w:val="00DA6C43"/>
    <w:rsid w:val="00DA7A4F"/>
    <w:rsid w:val="00DB1E08"/>
    <w:rsid w:val="00DB2973"/>
    <w:rsid w:val="00DB6DF3"/>
    <w:rsid w:val="00DC1B56"/>
    <w:rsid w:val="00DC1C18"/>
    <w:rsid w:val="00DC2129"/>
    <w:rsid w:val="00DC54DB"/>
    <w:rsid w:val="00DC6570"/>
    <w:rsid w:val="00DC66E0"/>
    <w:rsid w:val="00DD2460"/>
    <w:rsid w:val="00DD3C5E"/>
    <w:rsid w:val="00DD661B"/>
    <w:rsid w:val="00DD70DB"/>
    <w:rsid w:val="00DE0563"/>
    <w:rsid w:val="00DE2D4F"/>
    <w:rsid w:val="00DE3962"/>
    <w:rsid w:val="00DE44E1"/>
    <w:rsid w:val="00DE4D69"/>
    <w:rsid w:val="00DE55E9"/>
    <w:rsid w:val="00DF04E3"/>
    <w:rsid w:val="00DF2069"/>
    <w:rsid w:val="00DF25C3"/>
    <w:rsid w:val="00DF6F69"/>
    <w:rsid w:val="00E030C4"/>
    <w:rsid w:val="00E04062"/>
    <w:rsid w:val="00E063C6"/>
    <w:rsid w:val="00E066BA"/>
    <w:rsid w:val="00E10C4B"/>
    <w:rsid w:val="00E16AFB"/>
    <w:rsid w:val="00E2003B"/>
    <w:rsid w:val="00E202C8"/>
    <w:rsid w:val="00E203C2"/>
    <w:rsid w:val="00E2211F"/>
    <w:rsid w:val="00E224B4"/>
    <w:rsid w:val="00E237A8"/>
    <w:rsid w:val="00E25081"/>
    <w:rsid w:val="00E25707"/>
    <w:rsid w:val="00E26C83"/>
    <w:rsid w:val="00E2718E"/>
    <w:rsid w:val="00E279D8"/>
    <w:rsid w:val="00E300FC"/>
    <w:rsid w:val="00E30ED4"/>
    <w:rsid w:val="00E319B1"/>
    <w:rsid w:val="00E31B03"/>
    <w:rsid w:val="00E33CDE"/>
    <w:rsid w:val="00E352BB"/>
    <w:rsid w:val="00E3744F"/>
    <w:rsid w:val="00E40627"/>
    <w:rsid w:val="00E41F3A"/>
    <w:rsid w:val="00E42606"/>
    <w:rsid w:val="00E44E0D"/>
    <w:rsid w:val="00E466B5"/>
    <w:rsid w:val="00E4675B"/>
    <w:rsid w:val="00E5412E"/>
    <w:rsid w:val="00E54451"/>
    <w:rsid w:val="00E5492F"/>
    <w:rsid w:val="00E5735E"/>
    <w:rsid w:val="00E57B40"/>
    <w:rsid w:val="00E603C1"/>
    <w:rsid w:val="00E61AB6"/>
    <w:rsid w:val="00E62991"/>
    <w:rsid w:val="00E62DEF"/>
    <w:rsid w:val="00E66E3D"/>
    <w:rsid w:val="00E70A86"/>
    <w:rsid w:val="00E71448"/>
    <w:rsid w:val="00E71572"/>
    <w:rsid w:val="00E728AB"/>
    <w:rsid w:val="00E734A4"/>
    <w:rsid w:val="00E7353A"/>
    <w:rsid w:val="00E777EC"/>
    <w:rsid w:val="00E80FCD"/>
    <w:rsid w:val="00E87B0A"/>
    <w:rsid w:val="00E9187B"/>
    <w:rsid w:val="00E91A16"/>
    <w:rsid w:val="00E92252"/>
    <w:rsid w:val="00E93B58"/>
    <w:rsid w:val="00E94905"/>
    <w:rsid w:val="00E9603C"/>
    <w:rsid w:val="00E973C6"/>
    <w:rsid w:val="00EA7F2F"/>
    <w:rsid w:val="00EB079E"/>
    <w:rsid w:val="00EB46EF"/>
    <w:rsid w:val="00EC00DE"/>
    <w:rsid w:val="00EC0F42"/>
    <w:rsid w:val="00EC30E1"/>
    <w:rsid w:val="00EC368E"/>
    <w:rsid w:val="00EC421C"/>
    <w:rsid w:val="00EC65F6"/>
    <w:rsid w:val="00ED172A"/>
    <w:rsid w:val="00ED1980"/>
    <w:rsid w:val="00ED3028"/>
    <w:rsid w:val="00ED3EA1"/>
    <w:rsid w:val="00ED631F"/>
    <w:rsid w:val="00EE1004"/>
    <w:rsid w:val="00EE14C6"/>
    <w:rsid w:val="00EE1E6A"/>
    <w:rsid w:val="00EE58CC"/>
    <w:rsid w:val="00EE60F8"/>
    <w:rsid w:val="00EE7C2E"/>
    <w:rsid w:val="00EF2850"/>
    <w:rsid w:val="00EF35D7"/>
    <w:rsid w:val="00EF3B40"/>
    <w:rsid w:val="00F0000D"/>
    <w:rsid w:val="00F00DF7"/>
    <w:rsid w:val="00F02E0D"/>
    <w:rsid w:val="00F0396E"/>
    <w:rsid w:val="00F06120"/>
    <w:rsid w:val="00F11F6C"/>
    <w:rsid w:val="00F14BEC"/>
    <w:rsid w:val="00F225C5"/>
    <w:rsid w:val="00F255FF"/>
    <w:rsid w:val="00F2587A"/>
    <w:rsid w:val="00F2588F"/>
    <w:rsid w:val="00F311CA"/>
    <w:rsid w:val="00F35845"/>
    <w:rsid w:val="00F364A6"/>
    <w:rsid w:val="00F3715D"/>
    <w:rsid w:val="00F41899"/>
    <w:rsid w:val="00F420C8"/>
    <w:rsid w:val="00F42511"/>
    <w:rsid w:val="00F42A4C"/>
    <w:rsid w:val="00F437F2"/>
    <w:rsid w:val="00F45522"/>
    <w:rsid w:val="00F456B8"/>
    <w:rsid w:val="00F461A6"/>
    <w:rsid w:val="00F466AA"/>
    <w:rsid w:val="00F5176A"/>
    <w:rsid w:val="00F53D01"/>
    <w:rsid w:val="00F544E8"/>
    <w:rsid w:val="00F54ECF"/>
    <w:rsid w:val="00F56045"/>
    <w:rsid w:val="00F604DE"/>
    <w:rsid w:val="00F64ED3"/>
    <w:rsid w:val="00F67A5A"/>
    <w:rsid w:val="00F704B7"/>
    <w:rsid w:val="00F717AF"/>
    <w:rsid w:val="00F7658C"/>
    <w:rsid w:val="00F80812"/>
    <w:rsid w:val="00F81315"/>
    <w:rsid w:val="00F8252D"/>
    <w:rsid w:val="00F8505E"/>
    <w:rsid w:val="00F85E37"/>
    <w:rsid w:val="00F87569"/>
    <w:rsid w:val="00F92C57"/>
    <w:rsid w:val="00F94C8F"/>
    <w:rsid w:val="00F97E66"/>
    <w:rsid w:val="00FA01B2"/>
    <w:rsid w:val="00FB031E"/>
    <w:rsid w:val="00FB334F"/>
    <w:rsid w:val="00FB61AA"/>
    <w:rsid w:val="00FB67E9"/>
    <w:rsid w:val="00FB7512"/>
    <w:rsid w:val="00FC3629"/>
    <w:rsid w:val="00FC4D96"/>
    <w:rsid w:val="00FD0129"/>
    <w:rsid w:val="00FD28E8"/>
    <w:rsid w:val="00FD691F"/>
    <w:rsid w:val="00FD6BFD"/>
    <w:rsid w:val="00FD7547"/>
    <w:rsid w:val="00FE3242"/>
    <w:rsid w:val="00FE5E75"/>
    <w:rsid w:val="00FE7E8F"/>
    <w:rsid w:val="00FF4311"/>
    <w:rsid w:val="00FF44D6"/>
    <w:rsid w:val="00FF4BC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E9F72"/>
  <w15:docId w15:val="{DC8B3C9B-DE40-488C-863D-3D47CC6D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3"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D20BD"/>
    <w:pPr>
      <w:widowControl/>
      <w:numPr>
        <w:ilvl w:val="1"/>
      </w:numPr>
      <w:spacing w:before="240" w:after="240"/>
      <w:ind w:left="578" w:hanging="578"/>
      <w:outlineLvl w:val="1"/>
    </w:pPr>
    <w:rPr>
      <w:rFonts w:cstheme="majorBidi"/>
      <w:b/>
      <w:bCs/>
      <w:lang w:eastAsia="en-AU"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D20BD"/>
    <w:rPr>
      <w:rFonts w:ascii="Arial" w:hAnsi="Arial" w:cstheme="majorBidi"/>
      <w:b/>
      <w:bCs/>
      <w:sz w:val="22"/>
      <w:szCs w:val="24"/>
      <w:lang w:eastAsia="en-AU"/>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3"/>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aliases w:val="FSFooter"/>
    <w:basedOn w:val="Normal"/>
    <w:link w:val="FooterChar"/>
    <w:uiPriority w:val="99"/>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CC4BD5"/>
    <w:pPr>
      <w:spacing w:after="120"/>
    </w:pPr>
    <w:rPr>
      <w:rFonts w:cs="Arial"/>
      <w:b/>
    </w:rPr>
  </w:style>
  <w:style w:type="paragraph" w:customStyle="1" w:styleId="FSTableHeading">
    <w:name w:val="FS Table Heading"/>
    <w:basedOn w:val="Normal"/>
    <w:qFormat/>
    <w:rsid w:val="00F94C8F"/>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uiPriority w:val="3"/>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qFormat/>
    <w:rsid w:val="00FB67E9"/>
    <w:pPr>
      <w:ind w:left="720"/>
      <w:contextualSpacing/>
    </w:pPr>
  </w:style>
  <w:style w:type="paragraph" w:styleId="CommentSubject">
    <w:name w:val="annotation subject"/>
    <w:basedOn w:val="CommentText"/>
    <w:next w:val="CommentText"/>
    <w:link w:val="CommentSubjectChar"/>
    <w:semiHidden/>
    <w:unhideWhenUsed/>
    <w:rsid w:val="00F461A6"/>
    <w:rPr>
      <w:b/>
      <w:bCs/>
    </w:rPr>
  </w:style>
  <w:style w:type="character" w:customStyle="1" w:styleId="CommentSubjectChar">
    <w:name w:val="Comment Subject Char"/>
    <w:basedOn w:val="CommentTextChar"/>
    <w:link w:val="CommentSubject"/>
    <w:semiHidden/>
    <w:rsid w:val="00F461A6"/>
    <w:rPr>
      <w:rFonts w:ascii="Arial" w:hAnsi="Arial"/>
      <w:b/>
      <w:bCs/>
      <w:lang w:eastAsia="en-US" w:bidi="en-US"/>
    </w:rPr>
  </w:style>
  <w:style w:type="paragraph" w:customStyle="1" w:styleId="NormalWeb1">
    <w:name w:val="Normal (Web)1"/>
    <w:basedOn w:val="Normal"/>
    <w:next w:val="NormalWeb"/>
    <w:uiPriority w:val="99"/>
    <w:semiHidden/>
    <w:unhideWhenUsed/>
    <w:rsid w:val="00F437F2"/>
    <w:pPr>
      <w:widowControl/>
      <w:spacing w:after="200" w:line="276" w:lineRule="auto"/>
      <w:jc w:val="both"/>
    </w:pPr>
    <w:rPr>
      <w:rFonts w:ascii="Times New Roman" w:eastAsia="Calibri" w:hAnsi="Times New Roman"/>
      <w:sz w:val="24"/>
      <w:lang w:val="en-US" w:bidi="ar-SA"/>
    </w:rPr>
  </w:style>
  <w:style w:type="paragraph" w:styleId="NormalWeb">
    <w:name w:val="Normal (Web)"/>
    <w:basedOn w:val="Normal"/>
    <w:uiPriority w:val="99"/>
    <w:semiHidden/>
    <w:unhideWhenUsed/>
    <w:rsid w:val="00F437F2"/>
    <w:rPr>
      <w:rFonts w:ascii="Times New Roman" w:hAnsi="Times New Roman"/>
      <w:sz w:val="24"/>
    </w:rPr>
  </w:style>
  <w:style w:type="paragraph" w:styleId="Caption">
    <w:name w:val="caption"/>
    <w:basedOn w:val="Normal"/>
    <w:next w:val="Normal"/>
    <w:unhideWhenUsed/>
    <w:rsid w:val="005B3A96"/>
    <w:pPr>
      <w:spacing w:after="200"/>
    </w:pPr>
    <w:rPr>
      <w:i/>
      <w:iCs/>
      <w:color w:val="1F497D" w:themeColor="text2"/>
      <w:sz w:val="18"/>
      <w:szCs w:val="18"/>
    </w:rPr>
  </w:style>
  <w:style w:type="character" w:customStyle="1" w:styleId="FootnoteTextChar">
    <w:name w:val="Footnote Text Char"/>
    <w:aliases w:val="Footnotes Text Char,FSFootnotes Text Char,FSFootnote Text Char"/>
    <w:basedOn w:val="DefaultParagraphFont"/>
    <w:link w:val="FootnoteText"/>
    <w:rsid w:val="00F94C8F"/>
    <w:rPr>
      <w:rFonts w:ascii="Arial" w:hAnsi="Arial"/>
      <w:lang w:eastAsia="en-US" w:bidi="en-US"/>
    </w:rPr>
  </w:style>
  <w:style w:type="character" w:customStyle="1" w:styleId="FooterChar">
    <w:name w:val="Footer Char"/>
    <w:aliases w:val="FSFooter Char"/>
    <w:basedOn w:val="DefaultParagraphFont"/>
    <w:link w:val="Footer"/>
    <w:uiPriority w:val="99"/>
    <w:rsid w:val="00F94C8F"/>
    <w:rPr>
      <w:rFonts w:ascii="Arial" w:hAnsi="Arial"/>
      <w:szCs w:val="24"/>
      <w:lang w:eastAsia="en-US" w:bidi="en-US"/>
    </w:rPr>
  </w:style>
  <w:style w:type="table" w:styleId="GridTable4-Accent5">
    <w:name w:val="Grid Table 4 Accent 5"/>
    <w:basedOn w:val="TableNormal"/>
    <w:uiPriority w:val="49"/>
    <w:rsid w:val="00F94C8F"/>
    <w:rPr>
      <w:rFonts w:ascii="Arial" w:eastAsiaTheme="minorHAnsi" w:hAnsi="Arial" w:cs="Arial"/>
      <w:sz w:val="22"/>
      <w:szCs w:val="22"/>
      <w:lang w:val="en-AU"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FSBulletlist">
    <w:name w:val="FSBullet list"/>
    <w:basedOn w:val="ListParagraph"/>
    <w:link w:val="FSBulletlistChar"/>
    <w:uiPriority w:val="5"/>
    <w:qFormat/>
    <w:locked/>
    <w:rsid w:val="001C59CB"/>
    <w:pPr>
      <w:widowControl/>
      <w:numPr>
        <w:numId w:val="12"/>
      </w:numPr>
      <w:spacing w:before="120" w:after="120"/>
      <w:ind w:left="714" w:hanging="357"/>
      <w:contextualSpacing w:val="0"/>
    </w:pPr>
    <w:rPr>
      <w:rFonts w:eastAsiaTheme="minorHAnsi" w:cs="Arial"/>
      <w:color w:val="2E3037"/>
      <w:szCs w:val="22"/>
      <w:lang w:val="en-AU" w:eastAsia="en-GB" w:bidi="ar-SA"/>
    </w:rPr>
  </w:style>
  <w:style w:type="character" w:customStyle="1" w:styleId="FSBulletlistChar">
    <w:name w:val="FSBullet list Char"/>
    <w:basedOn w:val="DefaultParagraphFont"/>
    <w:link w:val="FSBulletlist"/>
    <w:uiPriority w:val="5"/>
    <w:rsid w:val="001C59CB"/>
    <w:rPr>
      <w:rFonts w:ascii="Arial" w:eastAsiaTheme="minorHAnsi" w:hAnsi="Arial" w:cs="Arial"/>
      <w:color w:val="2E3037"/>
      <w:sz w:val="22"/>
      <w:szCs w:val="22"/>
      <w:lang w:val="en-AU"/>
    </w:rPr>
  </w:style>
  <w:style w:type="paragraph" w:styleId="Revision">
    <w:name w:val="Revision"/>
    <w:hidden/>
    <w:uiPriority w:val="99"/>
    <w:semiHidden/>
    <w:rsid w:val="00B6165C"/>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38166">
      <w:bodyDiv w:val="1"/>
      <w:marLeft w:val="0"/>
      <w:marRight w:val="0"/>
      <w:marTop w:val="0"/>
      <w:marBottom w:val="0"/>
      <w:divBdr>
        <w:top w:val="none" w:sz="0" w:space="0" w:color="auto"/>
        <w:left w:val="none" w:sz="0" w:space="0" w:color="auto"/>
        <w:bottom w:val="none" w:sz="0" w:space="0" w:color="auto"/>
        <w:right w:val="none" w:sz="0" w:space="0" w:color="auto"/>
      </w:divBdr>
      <w:divsChild>
        <w:div w:id="271520498">
          <w:marLeft w:val="0"/>
          <w:marRight w:val="0"/>
          <w:marTop w:val="0"/>
          <w:marBottom w:val="0"/>
          <w:divBdr>
            <w:top w:val="none" w:sz="0" w:space="0" w:color="auto"/>
            <w:left w:val="none" w:sz="0" w:space="0" w:color="auto"/>
            <w:bottom w:val="none" w:sz="0" w:space="0" w:color="auto"/>
            <w:right w:val="none" w:sz="0" w:space="0" w:color="auto"/>
          </w:divBdr>
        </w:div>
        <w:div w:id="1328705004">
          <w:marLeft w:val="0"/>
          <w:marRight w:val="0"/>
          <w:marTop w:val="0"/>
          <w:marBottom w:val="0"/>
          <w:divBdr>
            <w:top w:val="none" w:sz="0" w:space="0" w:color="auto"/>
            <w:left w:val="none" w:sz="0" w:space="0" w:color="auto"/>
            <w:bottom w:val="none" w:sz="0" w:space="0" w:color="auto"/>
            <w:right w:val="none" w:sz="0" w:space="0" w:color="auto"/>
          </w:divBdr>
        </w:div>
        <w:div w:id="692464441">
          <w:marLeft w:val="0"/>
          <w:marRight w:val="0"/>
          <w:marTop w:val="0"/>
          <w:marBottom w:val="0"/>
          <w:divBdr>
            <w:top w:val="none" w:sz="0" w:space="0" w:color="auto"/>
            <w:left w:val="none" w:sz="0" w:space="0" w:color="auto"/>
            <w:bottom w:val="none" w:sz="0" w:space="0" w:color="auto"/>
            <w:right w:val="none" w:sz="0" w:space="0" w:color="auto"/>
          </w:divBdr>
        </w:div>
        <w:div w:id="1166437820">
          <w:marLeft w:val="0"/>
          <w:marRight w:val="0"/>
          <w:marTop w:val="0"/>
          <w:marBottom w:val="0"/>
          <w:divBdr>
            <w:top w:val="none" w:sz="0" w:space="0" w:color="auto"/>
            <w:left w:val="none" w:sz="0" w:space="0" w:color="auto"/>
            <w:bottom w:val="none" w:sz="0" w:space="0" w:color="auto"/>
            <w:right w:val="none" w:sz="0" w:space="0" w:color="auto"/>
          </w:divBdr>
        </w:div>
        <w:div w:id="1563638508">
          <w:marLeft w:val="0"/>
          <w:marRight w:val="0"/>
          <w:marTop w:val="0"/>
          <w:marBottom w:val="0"/>
          <w:divBdr>
            <w:top w:val="none" w:sz="0" w:space="0" w:color="auto"/>
            <w:left w:val="none" w:sz="0" w:space="0" w:color="auto"/>
            <w:bottom w:val="none" w:sz="0" w:space="0" w:color="auto"/>
            <w:right w:val="none" w:sz="0" w:space="0" w:color="auto"/>
          </w:divBdr>
        </w:div>
      </w:divsChild>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eader" Target="header2.xml"/><Relationship Id="rId39" Type="http://schemas.openxmlformats.org/officeDocument/2006/relationships/hyperlink" Target="http://www.abs.gov.au/AUSSTATS/abs@.nsf/Latestproducts/4324.0.55.002Main%20Features652011-12?opendocument&amp;tabname=Summary&amp;prodno=4324.0.55.002&amp;issue=2011-12&amp;num=&amp;view=" TargetMode="External"/><Relationship Id="rId21" Type="http://schemas.openxmlformats.org/officeDocument/2006/relationships/image" Target="media/image4.png"/><Relationship Id="rId34" Type="http://schemas.openxmlformats.org/officeDocument/2006/relationships/footer" Target="footer5.xml"/><Relationship Id="rId42" Type="http://schemas.openxmlformats.org/officeDocument/2006/relationships/hyperlink" Target="http://www.foodstandards.gov.au/science/exposure/documents/Principles%20_%20practices%20exposure%20assessment%202009.pdf" TargetMode="External"/><Relationship Id="rId47" Type="http://schemas.openxmlformats.org/officeDocument/2006/relationships/hyperlink" Target="http://www.foodstandards.gov.au/science/exposure/documents/Principles%20_%20practices%20exposure%20assessment%202009.pdf" TargetMode="External"/><Relationship Id="rId50"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4.xml"/><Relationship Id="rId11" Type="http://schemas.openxmlformats.org/officeDocument/2006/relationships/settings" Target="settings.xml"/><Relationship Id="rId24" Type="http://schemas.openxmlformats.org/officeDocument/2006/relationships/image" Target="media/image7.png"/><Relationship Id="rId32" Type="http://schemas.openxmlformats.org/officeDocument/2006/relationships/header" Target="header5.xml"/><Relationship Id="rId37" Type="http://schemas.openxmlformats.org/officeDocument/2006/relationships/image" Target="media/image10.png"/><Relationship Id="rId40" Type="http://schemas.openxmlformats.org/officeDocument/2006/relationships/hyperlink" Target="http://www.abs.gov.au/AUSSTATS/abs@.nsf/Latestproducts/4324.0.55.002Main%20Features652011-12?opendocument&amp;tabname=Summary&amp;prodno=4324.0.55.002&amp;issue=2011-12&amp;num=&amp;view" TargetMode="External"/><Relationship Id="rId45" Type="http://schemas.openxmlformats.org/officeDocument/2006/relationships/hyperlink" Target="https://www.fda.gov/media/113331/download"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6.png"/><Relationship Id="rId28" Type="http://schemas.openxmlformats.org/officeDocument/2006/relationships/footer" Target="footer3.xml"/><Relationship Id="rId36" Type="http://schemas.openxmlformats.org/officeDocument/2006/relationships/footer" Target="footer6.xml"/><Relationship Id="rId49"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2.png"/><Relationship Id="rId31" Type="http://schemas.openxmlformats.org/officeDocument/2006/relationships/image" Target="media/image9.png"/><Relationship Id="rId44" Type="http://schemas.openxmlformats.org/officeDocument/2006/relationships/hyperlink" Target="https://doi.org/10.31018/jans.v11i1.1959"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png"/><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header" Target="header7.xml"/><Relationship Id="rId43" Type="http://schemas.openxmlformats.org/officeDocument/2006/relationships/hyperlink" Target="http://dx.doi.org/10.32859/era.18.38.1-15" TargetMode="External"/><Relationship Id="rId48" Type="http://schemas.openxmlformats.org/officeDocument/2006/relationships/hyperlink" Target="http://www.foodstandards.gov.au/science/exposure/Pages/dietaryexposureandin4438.aspx" TargetMode="External"/><Relationship Id="rId8" Type="http://schemas.openxmlformats.org/officeDocument/2006/relationships/customXml" Target="../customXml/item8.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image" Target="media/image8.png"/><Relationship Id="rId33" Type="http://schemas.openxmlformats.org/officeDocument/2006/relationships/header" Target="header6.xml"/><Relationship Id="rId38" Type="http://schemas.openxmlformats.org/officeDocument/2006/relationships/image" Target="media/image11.png"/><Relationship Id="rId46" Type="http://schemas.openxmlformats.org/officeDocument/2006/relationships/hyperlink" Target="http://www.foodstandards.gov.au/science/riskanalysis/Pages/default.aspx" TargetMode="External"/><Relationship Id="rId20" Type="http://schemas.openxmlformats.org/officeDocument/2006/relationships/image" Target="media/image3.png"/><Relationship Id="rId41" Type="http://schemas.openxmlformats.org/officeDocument/2006/relationships/hyperlink" Target="http://www.foodstandards.gov.au/publications/Pages/Principles-and-Practices-of-Dietar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SharedContentType xmlns="Microsoft.SharePoint.Taxonomy.ContentTypeSync" SourceId="8959f586-1386-49a0-8f25-29490ba8c513" ContentTypeId="0x01010004C4C934AD08B647A78FCADD498BE319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8.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51670-3789-4ED0-A0F1-F3BBB2C64880}">
  <ds:schemaRefs>
    <ds:schemaRef ds:uri="http://schemas.microsoft.com/office/2006/metadata/customXsn"/>
  </ds:schemaRefs>
</ds:datastoreItem>
</file>

<file path=customXml/itemProps2.xml><?xml version="1.0" encoding="utf-8"?>
<ds:datastoreItem xmlns:ds="http://schemas.openxmlformats.org/officeDocument/2006/customXml" ds:itemID="{50494346-59F6-4054-86B7-5967D9506EF1}"/>
</file>

<file path=customXml/itemProps3.xml><?xml version="1.0" encoding="utf-8"?>
<ds:datastoreItem xmlns:ds="http://schemas.openxmlformats.org/officeDocument/2006/customXml" ds:itemID="{4C9464FD-E509-4E91-8D4C-160DEC086810}">
  <ds:schemaRefs>
    <ds:schemaRef ds:uri="Microsoft.SharePoint.Taxonomy.ContentTypeSync"/>
  </ds:schemaRefs>
</ds:datastoreItem>
</file>

<file path=customXml/itemProps4.xml><?xml version="1.0" encoding="utf-8"?>
<ds:datastoreItem xmlns:ds="http://schemas.openxmlformats.org/officeDocument/2006/customXml" ds:itemID="{AEE54455-A4C7-43E1-A710-C2312621B265}"/>
</file>

<file path=customXml/itemProps5.xml><?xml version="1.0" encoding="utf-8"?>
<ds:datastoreItem xmlns:ds="http://schemas.openxmlformats.org/officeDocument/2006/customXml" ds:itemID="{3712FAB4-E0BC-4C3B-AD10-1255BB92E8B6}"/>
</file>

<file path=customXml/itemProps6.xml><?xml version="1.0" encoding="utf-8"?>
<ds:datastoreItem xmlns:ds="http://schemas.openxmlformats.org/officeDocument/2006/customXml" ds:itemID="{AEE54455-A4C7-43E1-A710-C2312621B265}">
  <ds:schemaRefs>
    <ds:schemaRef ds:uri="http://schemas.microsoft.com/sharepoint/v3/contenttype/forms"/>
  </ds:schemaRefs>
</ds:datastoreItem>
</file>

<file path=customXml/itemProps7.xml><?xml version="1.0" encoding="utf-8"?>
<ds:datastoreItem xmlns:ds="http://schemas.openxmlformats.org/officeDocument/2006/customXml" ds:itemID="{35866577-ECEB-4800-98C0-F8845B588654}"/>
</file>

<file path=customXml/itemProps8.xml><?xml version="1.0" encoding="utf-8"?>
<ds:datastoreItem xmlns:ds="http://schemas.openxmlformats.org/officeDocument/2006/customXml" ds:itemID="{8A2B073F-80D3-4B3C-928A-3BC9158E659F}"/>
</file>

<file path=docProps/app.xml><?xml version="1.0" encoding="utf-8"?>
<Properties xmlns="http://schemas.openxmlformats.org/officeDocument/2006/extended-properties" xmlns:vt="http://schemas.openxmlformats.org/officeDocument/2006/docPropsVTypes">
  <Template>Normal</Template>
  <TotalTime>43</TotalTime>
  <Pages>43</Pages>
  <Words>17196</Words>
  <Characters>98020</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114987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seymok</dc:creator>
  <cp:lastModifiedBy>RichaJ</cp:lastModifiedBy>
  <cp:revision>3</cp:revision>
  <cp:lastPrinted>2020-12-14T09:08:00Z</cp:lastPrinted>
  <dcterms:created xsi:type="dcterms:W3CDTF">2020-12-14T08:50:00Z</dcterms:created>
  <dcterms:modified xsi:type="dcterms:W3CDTF">2020-12-14T09:53:00Z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13d09ac9-af2a-42e6-97e8-87a46a80ad99</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315;#GOVERNING BODIES:Board meetings:Agenda papers|6e530783-c5c6-4772-93f9-dbabdcf97c03</vt:lpwstr>
  </property>
  <property fmtid="{D5CDD505-2E9C-101B-9397-08002B2CF9AE}" pid="7" name="_dlc_DocIdItemGuid">
    <vt:lpwstr>1947623b-2db6-4928-984e-79701444a1d7</vt:lpwstr>
  </property>
  <property fmtid="{D5CDD505-2E9C-101B-9397-08002B2CF9AE}" pid="8" name="RecordPoint_WorkflowType">
    <vt:lpwstr>ActiveSubmitStub</vt:lpwstr>
  </property>
  <property fmtid="{D5CDD505-2E9C-101B-9397-08002B2CF9AE}" pid="9" name="RecordPoint_ActiveItemWebId">
    <vt:lpwstr>{0a24ff59-26de-499e-af6c-870128dbbd86}</vt:lpwstr>
  </property>
  <property fmtid="{D5CDD505-2E9C-101B-9397-08002B2CF9AE}" pid="10" name="RecordPoint_ActiveItemSiteId">
    <vt:lpwstr>{cec154f9-42c6-4481-9906-45443d426660}</vt:lpwstr>
  </property>
  <property fmtid="{D5CDD505-2E9C-101B-9397-08002B2CF9AE}" pid="11" name="RecordPoint_ActiveItemListId">
    <vt:lpwstr>{3a9826a6-ef3d-4704-849b-07726235ecc0}</vt:lpwstr>
  </property>
  <property fmtid="{D5CDD505-2E9C-101B-9397-08002B2CF9AE}" pid="12" name="RecordPoint_ActiveItemUniqueId">
    <vt:lpwstr>{0f56a2ee-6bca-4485-b241-161ee9bf75f4}</vt:lpwstr>
  </property>
  <property fmtid="{D5CDD505-2E9C-101B-9397-08002B2CF9AE}" pid="13" name="RecordPoint_RecordNumberSubmitted">
    <vt:lpwstr>R0000134179</vt:lpwstr>
  </property>
  <property fmtid="{D5CDD505-2E9C-101B-9397-08002B2CF9AE}" pid="14" name="RecordPoint_SubmissionCompleted">
    <vt:lpwstr>2020-11-10T16:10:15.6088652+11:00</vt:lpwstr>
  </property>
  <property fmtid="{D5CDD505-2E9C-101B-9397-08002B2CF9AE}" pid="1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6" name="bjDocumentLabelXML-0">
    <vt:lpwstr>ames.com/2008/01/sie/internal/label"&gt;&lt;element uid="66ddac19-06c4-4e63-b4dd-d8240d87a23f" value="" /&gt;&lt;/sisl&gt;</vt:lpwstr>
  </property>
  <property fmtid="{D5CDD505-2E9C-101B-9397-08002B2CF9AE}" pid="17" name="bjDocumentSecurityLabel">
    <vt:lpwstr>NO SECURITY CLASSIFICATION REQUIRED</vt:lpwstr>
  </property>
</Properties>
</file>